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4AB" w:rsidRDefault="00EF1336" w:rsidP="00E5625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207816">
        <w:rPr>
          <w:szCs w:val="22"/>
        </w:rPr>
        <w:t xml:space="preserve">выполнение работ </w:t>
      </w:r>
      <w:r w:rsidR="00E031DF" w:rsidRPr="006C0156">
        <w:rPr>
          <w:szCs w:val="22"/>
        </w:rPr>
        <w:t xml:space="preserve">капитальному ремонту </w:t>
      </w:r>
      <w:r w:rsidR="00E031DF" w:rsidRPr="00DD1737">
        <w:rPr>
          <w:szCs w:val="22"/>
        </w:rPr>
        <w:t>установки Изомалк-2</w:t>
      </w:r>
      <w:r w:rsidR="00E031DF" w:rsidRPr="00BF0B53">
        <w:rPr>
          <w:szCs w:val="22"/>
        </w:rPr>
        <w:t xml:space="preserve"> Каталитическое производство согласно графика простоев в 2019 году</w:t>
      </w:r>
      <w:r w:rsidR="0043186B">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207816">
        <w:rPr>
          <w:szCs w:val="22"/>
        </w:rPr>
        <w:t>единым лотом</w:t>
      </w:r>
      <w:r w:rsidR="0090353E">
        <w:rPr>
          <w:szCs w:val="22"/>
        </w:rPr>
        <w:t>:</w:t>
      </w:r>
    </w:p>
    <w:p w:rsidR="00207816" w:rsidRPr="002364FE" w:rsidRDefault="00207816" w:rsidP="00207816">
      <w:pPr>
        <w:jc w:val="both"/>
        <w:rPr>
          <w:szCs w:val="22"/>
        </w:rPr>
      </w:pPr>
      <w:r>
        <w:rPr>
          <w:szCs w:val="22"/>
        </w:rPr>
        <w:t xml:space="preserve">Работы по </w:t>
      </w:r>
      <w:r w:rsidR="0043186B" w:rsidRPr="006C0156">
        <w:rPr>
          <w:szCs w:val="22"/>
        </w:rPr>
        <w:t xml:space="preserve">капитальному ремонту </w:t>
      </w:r>
      <w:r w:rsidR="0043186B" w:rsidRPr="00096C79">
        <w:rPr>
          <w:szCs w:val="22"/>
        </w:rPr>
        <w:t xml:space="preserve">установки </w:t>
      </w:r>
      <w:r w:rsidR="00E031DF" w:rsidRPr="00DD1737">
        <w:rPr>
          <w:szCs w:val="22"/>
        </w:rPr>
        <w:t>Изомалк-2</w:t>
      </w:r>
      <w:r w:rsidR="00E031DF" w:rsidRPr="00BF0B53">
        <w:rPr>
          <w:szCs w:val="22"/>
        </w:rPr>
        <w:t xml:space="preserve"> </w:t>
      </w:r>
      <w:r w:rsidR="0043186B" w:rsidRPr="00096C79">
        <w:rPr>
          <w:szCs w:val="22"/>
        </w:rPr>
        <w:t>Каталитическое производство в 2019 году</w:t>
      </w:r>
      <w:r>
        <w:rPr>
          <w:szCs w:val="22"/>
        </w:rPr>
        <w:t>.</w:t>
      </w:r>
    </w:p>
    <w:tbl>
      <w:tblPr>
        <w:tblW w:w="10481" w:type="dxa"/>
        <w:tblInd w:w="-25" w:type="dxa"/>
        <w:tblLayout w:type="fixed"/>
        <w:tblLook w:val="0000" w:firstRow="0" w:lastRow="0" w:firstColumn="0" w:lastColumn="0" w:noHBand="0" w:noVBand="0"/>
      </w:tblPr>
      <w:tblGrid>
        <w:gridCol w:w="517"/>
        <w:gridCol w:w="8405"/>
        <w:gridCol w:w="1559"/>
      </w:tblGrid>
      <w:tr w:rsidR="00207816" w:rsidTr="00E031DF">
        <w:tc>
          <w:tcPr>
            <w:tcW w:w="517"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 п/п</w:t>
            </w:r>
          </w:p>
        </w:tc>
        <w:tc>
          <w:tcPr>
            <w:tcW w:w="8405"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Наименование и технические характеристики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Объект</w:t>
            </w:r>
          </w:p>
        </w:tc>
      </w:tr>
      <w:tr w:rsidR="00E031DF" w:rsidTr="00E031DF">
        <w:trPr>
          <w:cantSplit/>
          <w:trHeight w:hRule="exact" w:val="3607"/>
        </w:trPr>
        <w:tc>
          <w:tcPr>
            <w:tcW w:w="517" w:type="dxa"/>
            <w:tcBorders>
              <w:top w:val="single" w:sz="4" w:space="0" w:color="000000"/>
              <w:left w:val="single" w:sz="4" w:space="0" w:color="000000"/>
              <w:bottom w:val="single" w:sz="4" w:space="0" w:color="000000"/>
            </w:tcBorders>
            <w:shd w:val="clear" w:color="auto" w:fill="auto"/>
          </w:tcPr>
          <w:p w:rsidR="00E031DF" w:rsidRPr="00207816" w:rsidRDefault="00E031DF" w:rsidP="00E031DF">
            <w:pPr>
              <w:snapToGrid w:val="0"/>
              <w:spacing w:before="0"/>
              <w:rPr>
                <w:b/>
                <w:sz w:val="20"/>
                <w:szCs w:val="20"/>
              </w:rPr>
            </w:pPr>
          </w:p>
        </w:tc>
        <w:tc>
          <w:tcPr>
            <w:tcW w:w="8405" w:type="dxa"/>
            <w:tcBorders>
              <w:top w:val="single" w:sz="4" w:space="0" w:color="000000"/>
              <w:left w:val="single" w:sz="4" w:space="0" w:color="000000"/>
              <w:bottom w:val="single" w:sz="4" w:space="0" w:color="000000"/>
            </w:tcBorders>
            <w:shd w:val="clear" w:color="auto" w:fill="auto"/>
            <w:vAlign w:val="center"/>
          </w:tcPr>
          <w:p w:rsidR="00E031DF" w:rsidRPr="00E031DF" w:rsidRDefault="00E031DF" w:rsidP="00E031DF">
            <w:pPr>
              <w:spacing w:before="0"/>
              <w:rPr>
                <w:sz w:val="20"/>
                <w:szCs w:val="20"/>
              </w:rPr>
            </w:pPr>
            <w:r w:rsidRPr="00E031DF">
              <w:rPr>
                <w:sz w:val="20"/>
                <w:szCs w:val="20"/>
              </w:rPr>
              <w:t>1. Подготовительные мероприятия (установка межфланцевых заглушек Ду20-800, вскрытие и демонтаж крышек люков до 450 мм, чистка от загрязнений, промывка);</w:t>
            </w:r>
          </w:p>
          <w:p w:rsidR="00E031DF" w:rsidRPr="00E031DF" w:rsidRDefault="00E031DF" w:rsidP="00E031DF">
            <w:pPr>
              <w:spacing w:before="0"/>
              <w:rPr>
                <w:sz w:val="20"/>
                <w:szCs w:val="20"/>
              </w:rPr>
            </w:pPr>
            <w:r w:rsidRPr="00E031DF">
              <w:rPr>
                <w:sz w:val="20"/>
                <w:szCs w:val="20"/>
              </w:rPr>
              <w:t>2. Ремонт оборудования установки (печное, теплообменное, колонное, емкостное, холодильное, реакторное, фильтровальное, аппараты воздушного охлаждения АВГ, АВЗ и т.д.);</w:t>
            </w:r>
          </w:p>
          <w:p w:rsidR="00E031DF" w:rsidRPr="00E031DF" w:rsidRDefault="00E031DF" w:rsidP="00E031DF">
            <w:pPr>
              <w:spacing w:before="0"/>
              <w:rPr>
                <w:sz w:val="20"/>
                <w:szCs w:val="20"/>
              </w:rPr>
            </w:pPr>
            <w:r w:rsidRPr="00E031DF">
              <w:rPr>
                <w:sz w:val="20"/>
                <w:szCs w:val="20"/>
              </w:rPr>
              <w:t>3. Разборка, чистка, сборка, испытание теплообменного, реакторного, холодильного оборудования;</w:t>
            </w:r>
          </w:p>
          <w:p w:rsidR="00E031DF" w:rsidRPr="00E031DF" w:rsidRDefault="00E031DF" w:rsidP="00E031DF">
            <w:pPr>
              <w:spacing w:before="0"/>
              <w:rPr>
                <w:sz w:val="20"/>
                <w:szCs w:val="20"/>
              </w:rPr>
            </w:pPr>
            <w:r w:rsidRPr="00E031DF">
              <w:rPr>
                <w:sz w:val="20"/>
                <w:szCs w:val="20"/>
              </w:rPr>
              <w:t>4. Ремонт  трубопроводов и металлоконструкций;</w:t>
            </w:r>
          </w:p>
          <w:p w:rsidR="00E031DF" w:rsidRPr="00E031DF" w:rsidRDefault="00E031DF" w:rsidP="00E031DF">
            <w:pPr>
              <w:spacing w:before="0"/>
              <w:rPr>
                <w:sz w:val="20"/>
                <w:szCs w:val="20"/>
              </w:rPr>
            </w:pPr>
            <w:r w:rsidRPr="00E031DF">
              <w:rPr>
                <w:sz w:val="20"/>
                <w:szCs w:val="20"/>
              </w:rPr>
              <w:t>5. Ремонт и ревизия НКО, вентиляции и запорной арматуры;</w:t>
            </w:r>
          </w:p>
          <w:p w:rsidR="00E031DF" w:rsidRPr="00E031DF" w:rsidRDefault="006E0AAE" w:rsidP="00E031DF">
            <w:pPr>
              <w:spacing w:before="0"/>
              <w:rPr>
                <w:sz w:val="20"/>
                <w:szCs w:val="20"/>
              </w:rPr>
            </w:pPr>
            <w:r>
              <w:rPr>
                <w:sz w:val="20"/>
                <w:szCs w:val="20"/>
              </w:rPr>
              <w:t>6</w:t>
            </w:r>
            <w:r w:rsidR="00E031DF" w:rsidRPr="00E031DF">
              <w:rPr>
                <w:sz w:val="20"/>
                <w:szCs w:val="20"/>
              </w:rPr>
              <w:t>. Ремонт КИПиА;</w:t>
            </w:r>
          </w:p>
          <w:p w:rsidR="00E031DF" w:rsidRPr="00E031DF" w:rsidRDefault="006E0AAE" w:rsidP="00E031DF">
            <w:pPr>
              <w:spacing w:before="0"/>
              <w:rPr>
                <w:sz w:val="20"/>
                <w:szCs w:val="20"/>
              </w:rPr>
            </w:pPr>
            <w:r>
              <w:rPr>
                <w:sz w:val="20"/>
                <w:szCs w:val="20"/>
              </w:rPr>
              <w:t>7</w:t>
            </w:r>
            <w:r w:rsidR="00E031DF" w:rsidRPr="00E031DF">
              <w:rPr>
                <w:sz w:val="20"/>
                <w:szCs w:val="20"/>
              </w:rPr>
              <w:t>. Уборка мест проведения работ, вывоз металлолома и мусора.</w:t>
            </w:r>
          </w:p>
          <w:p w:rsidR="00E031DF" w:rsidRPr="00E031DF" w:rsidRDefault="00E031DF" w:rsidP="00E031DF">
            <w:pPr>
              <w:snapToGrid w:val="0"/>
              <w:spacing w:before="0"/>
              <w:rPr>
                <w:sz w:val="20"/>
                <w:szCs w:val="20"/>
              </w:rPr>
            </w:pPr>
            <w:r w:rsidRPr="00E031DF">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Изомалк-2 Каталитическое производство в 2019 году.</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1DF" w:rsidRPr="00E031DF" w:rsidRDefault="00E031DF" w:rsidP="00E031DF">
            <w:pPr>
              <w:snapToGrid w:val="0"/>
              <w:spacing w:before="0"/>
              <w:rPr>
                <w:sz w:val="20"/>
                <w:szCs w:val="20"/>
              </w:rPr>
            </w:pPr>
            <w:r w:rsidRPr="00E031DF">
              <w:rPr>
                <w:sz w:val="20"/>
                <w:szCs w:val="20"/>
              </w:rPr>
              <w:t xml:space="preserve">Изомалк-2, </w:t>
            </w:r>
          </w:p>
          <w:p w:rsidR="00E031DF" w:rsidRPr="00E031DF" w:rsidRDefault="00E031DF" w:rsidP="00E031DF">
            <w:pPr>
              <w:snapToGrid w:val="0"/>
              <w:spacing w:before="0"/>
              <w:rPr>
                <w:sz w:val="20"/>
                <w:szCs w:val="20"/>
              </w:rPr>
            </w:pPr>
            <w:r w:rsidRPr="00E031DF">
              <w:rPr>
                <w:sz w:val="20"/>
                <w:szCs w:val="20"/>
              </w:rPr>
              <w:t>Кат. производство</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66702" w:rsidRPr="00DD2C3B" w:rsidRDefault="00EF1336" w:rsidP="00666702">
      <w:p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4A23E1">
        <w:rPr>
          <w:szCs w:val="22"/>
        </w:rPr>
        <w:t>н</w:t>
      </w:r>
      <w:r w:rsidR="00666702" w:rsidRPr="003440D9">
        <w:rPr>
          <w:szCs w:val="22"/>
        </w:rPr>
        <w:t>ачало</w:t>
      </w:r>
      <w:r w:rsidR="00666702" w:rsidRPr="000D0490">
        <w:rPr>
          <w:szCs w:val="22"/>
        </w:rPr>
        <w:t xml:space="preserve"> ра</w:t>
      </w:r>
      <w:r w:rsidR="00666702">
        <w:rPr>
          <w:szCs w:val="22"/>
        </w:rPr>
        <w:t>бот – 01 марта 2019</w:t>
      </w:r>
      <w:r w:rsidR="00666702" w:rsidRPr="000D0490">
        <w:rPr>
          <w:szCs w:val="22"/>
        </w:rPr>
        <w:t xml:space="preserve"> г., окончание работ –</w:t>
      </w:r>
      <w:r w:rsidR="00666702">
        <w:rPr>
          <w:szCs w:val="22"/>
        </w:rPr>
        <w:t xml:space="preserve">  30 июня 2019</w:t>
      </w:r>
      <w:r w:rsidR="00666702" w:rsidRPr="00232DB5">
        <w:rPr>
          <w:szCs w:val="22"/>
        </w:rPr>
        <w:t xml:space="preserve"> г., </w:t>
      </w:r>
      <w:r w:rsidR="00666702">
        <w:rPr>
          <w:szCs w:val="22"/>
        </w:rPr>
        <w:t xml:space="preserve">количество дней простоя на </w:t>
      </w:r>
      <w:r w:rsidR="00666702" w:rsidRPr="00232DB5">
        <w:rPr>
          <w:szCs w:val="22"/>
        </w:rPr>
        <w:t>ремонте</w:t>
      </w:r>
      <w:r w:rsidR="00666702">
        <w:rPr>
          <w:szCs w:val="22"/>
        </w:rPr>
        <w:t xml:space="preserve"> 30</w:t>
      </w:r>
      <w:r w:rsidR="00666702" w:rsidRPr="00726933">
        <w:rPr>
          <w:szCs w:val="22"/>
        </w:rPr>
        <w:t xml:space="preserve"> (</w:t>
      </w:r>
      <w:r w:rsidR="00666702">
        <w:rPr>
          <w:szCs w:val="22"/>
        </w:rPr>
        <w:t>тридцать</w:t>
      </w:r>
      <w:r w:rsidR="00666702" w:rsidRPr="00726933">
        <w:rPr>
          <w:szCs w:val="22"/>
        </w:rPr>
        <w:t>) календарных дн</w:t>
      </w:r>
      <w:r w:rsidR="00666702">
        <w:rPr>
          <w:szCs w:val="22"/>
        </w:rPr>
        <w:t>ей.</w:t>
      </w:r>
      <w:r w:rsidR="00666702" w:rsidRPr="00DD2C3B">
        <w:rPr>
          <w:color w:val="FF0000"/>
          <w:szCs w:val="22"/>
        </w:rPr>
        <w:t xml:space="preserve"> </w:t>
      </w:r>
      <w:r w:rsidR="00666702" w:rsidRPr="00DD2C3B">
        <w:rPr>
          <w:szCs w:val="22"/>
        </w:rPr>
        <w:t xml:space="preserve"> </w:t>
      </w:r>
    </w:p>
    <w:p w:rsidR="00666702" w:rsidRPr="00726933" w:rsidRDefault="00666702" w:rsidP="00666702">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666702" w:rsidRPr="00726933" w:rsidRDefault="00666702" w:rsidP="00666702">
      <w:pPr>
        <w:contextualSpacing/>
        <w:jc w:val="both"/>
        <w:rPr>
          <w:szCs w:val="22"/>
        </w:rPr>
      </w:pPr>
      <w:r>
        <w:rPr>
          <w:szCs w:val="22"/>
        </w:rPr>
        <w:t xml:space="preserve">- </w:t>
      </w:r>
      <w:r w:rsidRPr="00726933">
        <w:rPr>
          <w:szCs w:val="22"/>
        </w:rPr>
        <w:t xml:space="preserve">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марта</w:t>
      </w:r>
      <w:r w:rsidRPr="00726933">
        <w:rPr>
          <w:szCs w:val="22"/>
        </w:rPr>
        <w:t xml:space="preserve"> 2</w:t>
      </w:r>
      <w:r>
        <w:rPr>
          <w:szCs w:val="22"/>
        </w:rPr>
        <w:t xml:space="preserve">019 г., окончание работ –   май </w:t>
      </w:r>
      <w:r w:rsidRPr="00726933">
        <w:rPr>
          <w:szCs w:val="22"/>
        </w:rPr>
        <w:t>2019 г.;</w:t>
      </w:r>
    </w:p>
    <w:p w:rsidR="00666702" w:rsidRDefault="00666702" w:rsidP="00666702">
      <w:pPr>
        <w:contextualSpacing/>
        <w:jc w:val="both"/>
        <w:rPr>
          <w:szCs w:val="22"/>
        </w:rPr>
      </w:pPr>
      <w:r w:rsidRPr="00726933">
        <w:rPr>
          <w:szCs w:val="22"/>
        </w:rPr>
        <w:t>- 2 этап: выполнение основного комплекса раб</w:t>
      </w:r>
      <w:r>
        <w:rPr>
          <w:szCs w:val="22"/>
        </w:rPr>
        <w:t>от в рамках работ по кап. ремонту установки</w:t>
      </w:r>
      <w:r w:rsidRPr="00726933">
        <w:rPr>
          <w:szCs w:val="22"/>
        </w:rPr>
        <w:t>, нача</w:t>
      </w:r>
      <w:r>
        <w:rPr>
          <w:szCs w:val="22"/>
        </w:rPr>
        <w:t>ло работ –  май 2019 г., окончание работ – 30 июня</w:t>
      </w:r>
      <w:r w:rsidRPr="00726933">
        <w:rPr>
          <w:szCs w:val="22"/>
        </w:rPr>
        <w:t xml:space="preserve"> 2019 г., согласно укрупненного графика проведения работ (Приложение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w:t>
      </w:r>
      <w:r>
        <w:rPr>
          <w:szCs w:val="22"/>
        </w:rPr>
        <w:t>тальный график проведения работ.</w:t>
      </w:r>
    </w:p>
    <w:p w:rsidR="00666702" w:rsidRPr="00767417" w:rsidRDefault="00666702" w:rsidP="00666702">
      <w:pPr>
        <w:ind w:firstLine="510"/>
        <w:contextualSpacing/>
        <w:jc w:val="both"/>
        <w:rPr>
          <w:szCs w:val="22"/>
        </w:rPr>
      </w:pPr>
      <w:r w:rsidRPr="009B45B8">
        <w:rPr>
          <w:szCs w:val="22"/>
        </w:rPr>
        <w:t>Заказчик оставляет за собой право изменить плановые сроки начала и окончания работ в ту или иную сторону, в связи с изменением укрупненного графика</w:t>
      </w:r>
      <w:r w:rsidR="00D61E4D">
        <w:rPr>
          <w:szCs w:val="22"/>
        </w:rPr>
        <w:t xml:space="preserve"> проведения работ (Приложение №3</w:t>
      </w:r>
      <w:r w:rsidRPr="009B45B8">
        <w:rPr>
          <w:szCs w:val="22"/>
        </w:rPr>
        <w:t xml:space="preserve"> проекту к Договора), о чем обязан известить Подрядчика </w:t>
      </w:r>
      <w:r>
        <w:rPr>
          <w:szCs w:val="22"/>
        </w:rPr>
        <w:t xml:space="preserve">не менее чем </w:t>
      </w:r>
      <w:r w:rsidRPr="009B45B8">
        <w:rPr>
          <w:szCs w:val="22"/>
        </w:rPr>
        <w:t>за 60 календарный дней до начала работ, что не будет являться нарушением условий договора.</w:t>
      </w:r>
    </w:p>
    <w:p w:rsidR="00666702" w:rsidRPr="00726933" w:rsidRDefault="00666702" w:rsidP="00666702">
      <w:pPr>
        <w:contextualSpacing/>
        <w:jc w:val="both"/>
        <w:rPr>
          <w:szCs w:val="22"/>
        </w:rPr>
      </w:pPr>
      <w:r w:rsidRPr="00726933">
        <w:rPr>
          <w:szCs w:val="22"/>
        </w:rPr>
        <w:t xml:space="preserve">           Подрядчик обязан выполнить весь комплекс ремонтных </w:t>
      </w:r>
      <w:r>
        <w:rPr>
          <w:szCs w:val="22"/>
        </w:rPr>
        <w:t>работ в соответствии с дефектными ведомостями</w:t>
      </w:r>
      <w:r w:rsidRPr="00726933">
        <w:rPr>
          <w:szCs w:val="22"/>
        </w:rPr>
        <w:t xml:space="preserve"> до подписания акта</w:t>
      </w:r>
      <w:r>
        <w:rPr>
          <w:szCs w:val="22"/>
        </w:rPr>
        <w:t xml:space="preserve"> сдачи установки из</w:t>
      </w:r>
      <w:r w:rsidRPr="00726933">
        <w:rPr>
          <w:szCs w:val="22"/>
        </w:rPr>
        <w:t xml:space="preserve">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w:t>
      </w:r>
      <w:r>
        <w:rPr>
          <w:szCs w:val="22"/>
        </w:rPr>
        <w:t xml:space="preserve"> сдачи установки из</w:t>
      </w:r>
      <w:r w:rsidRPr="00726933">
        <w:rPr>
          <w:szCs w:val="22"/>
        </w:rPr>
        <w:t xml:space="preserve"> ремонта со сроком окончания таких работ не позднее сроков окончания работ по настоящему Договору.</w:t>
      </w:r>
    </w:p>
    <w:p w:rsidR="00666702" w:rsidRPr="00726933" w:rsidRDefault="00666702" w:rsidP="00666702">
      <w:pPr>
        <w:contextualSpacing/>
        <w:jc w:val="both"/>
        <w:rPr>
          <w:szCs w:val="22"/>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666702" w:rsidRPr="00666702" w:rsidRDefault="00666702" w:rsidP="00666702">
      <w:pPr>
        <w:contextualSpacing/>
        <w:jc w:val="both"/>
        <w:rPr>
          <w:szCs w:val="22"/>
        </w:rPr>
      </w:pPr>
      <w:r w:rsidRPr="00666702">
        <w:rPr>
          <w:szCs w:val="22"/>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D61E4D" w:rsidRPr="005F0287" w:rsidRDefault="00EF1336" w:rsidP="005F0287">
      <w:pPr>
        <w:spacing w:before="0"/>
        <w:jc w:val="both"/>
        <w:rPr>
          <w:szCs w:val="22"/>
        </w:rPr>
      </w:pPr>
      <w:r w:rsidRPr="00EF1336">
        <w:rPr>
          <w:rFonts w:cs="Arial"/>
          <w:b/>
          <w:szCs w:val="22"/>
          <w:u w:val="single"/>
        </w:rPr>
        <w:t>Условия оплаты</w:t>
      </w:r>
      <w:r w:rsidRPr="00EF1336">
        <w:rPr>
          <w:rFonts w:cs="Arial"/>
          <w:szCs w:val="22"/>
        </w:rPr>
        <w:t xml:space="preserve">: </w:t>
      </w:r>
      <w:r w:rsidR="00D61E4D" w:rsidRPr="005F0287">
        <w:rPr>
          <w:szCs w:val="22"/>
        </w:rPr>
        <w:t>по предоставленным подписанным актам выполненных работ и счетам–фактурам, с отсрочкой платежа 90 (девяносто) календарных дней.</w:t>
      </w:r>
    </w:p>
    <w:p w:rsidR="00D61E4D" w:rsidRPr="005F0287" w:rsidRDefault="00D61E4D" w:rsidP="005F0287">
      <w:pPr>
        <w:autoSpaceDE w:val="0"/>
        <w:spacing w:before="0"/>
        <w:ind w:firstLine="720"/>
        <w:jc w:val="both"/>
        <w:rPr>
          <w:szCs w:val="22"/>
        </w:rPr>
      </w:pPr>
      <w:r w:rsidRPr="005F0287">
        <w:rPr>
          <w:szCs w:val="22"/>
        </w:rPr>
        <w:t>Разница в стоимости материалов поставки Подрядчика (возникшая между стоимостью</w:t>
      </w:r>
      <w:r w:rsidRPr="005F0287">
        <w:rPr>
          <w:color w:val="FF0000"/>
          <w:szCs w:val="22"/>
        </w:rPr>
        <w:t xml:space="preserve"> </w:t>
      </w:r>
      <w:r w:rsidRPr="005F0287">
        <w:rPr>
          <w:color w:val="000000"/>
          <w:szCs w:val="22"/>
        </w:rPr>
        <w:t>материалов поставки Подрядчика, согласованной с Заказчиком, и фактической</w:t>
      </w:r>
      <w:r w:rsidRPr="005F0287">
        <w:rPr>
          <w:szCs w:val="22"/>
        </w:rPr>
        <w:t xml:space="preserve"> </w:t>
      </w:r>
      <w:r w:rsidRPr="005F0287">
        <w:rPr>
          <w:color w:val="000000"/>
          <w:szCs w:val="22"/>
        </w:rPr>
        <w:t>стоимостью</w:t>
      </w:r>
      <w:r w:rsidRPr="005F0287">
        <w:rPr>
          <w:szCs w:val="22"/>
        </w:rPr>
        <w:t xml:space="preserve"> приобретенных Подрядчиком материалов) оплате Заказчиком не подлежит.</w:t>
      </w:r>
    </w:p>
    <w:p w:rsidR="00E56256" w:rsidRDefault="00D61E4D" w:rsidP="005F0287">
      <w:pPr>
        <w:spacing w:before="0"/>
        <w:ind w:firstLine="567"/>
        <w:jc w:val="both"/>
        <w:rPr>
          <w:szCs w:val="22"/>
        </w:rPr>
      </w:pPr>
      <w:r w:rsidRPr="005F0287">
        <w:rPr>
          <w:szCs w:val="22"/>
        </w:rPr>
        <w:t xml:space="preserve">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w:t>
      </w:r>
      <w:bookmarkStart w:id="0" w:name="_GoBack"/>
      <w:bookmarkEnd w:id="0"/>
    </w:p>
    <w:p w:rsidR="00E56256" w:rsidRDefault="00E56256" w:rsidP="005F0287">
      <w:pPr>
        <w:spacing w:before="0"/>
        <w:ind w:firstLine="567"/>
        <w:jc w:val="both"/>
        <w:rPr>
          <w:szCs w:val="22"/>
        </w:rPr>
      </w:pPr>
    </w:p>
    <w:p w:rsidR="00E56256" w:rsidRDefault="00E56256" w:rsidP="005F0287">
      <w:pPr>
        <w:spacing w:before="0"/>
        <w:ind w:firstLine="567"/>
        <w:jc w:val="both"/>
        <w:rPr>
          <w:szCs w:val="22"/>
        </w:rPr>
      </w:pPr>
    </w:p>
    <w:p w:rsidR="00D61E4D" w:rsidRPr="005F0287" w:rsidRDefault="00D61E4D" w:rsidP="00E56256">
      <w:pPr>
        <w:spacing w:before="0"/>
        <w:jc w:val="both"/>
        <w:rPr>
          <w:szCs w:val="22"/>
        </w:rPr>
      </w:pPr>
      <w:r w:rsidRPr="005F0287">
        <w:rPr>
          <w:szCs w:val="22"/>
        </w:rPr>
        <w:t>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p w:rsidR="00D61E4D" w:rsidRPr="005F0287" w:rsidRDefault="00D61E4D" w:rsidP="005F0287">
      <w:pPr>
        <w:autoSpaceDE w:val="0"/>
        <w:spacing w:before="0"/>
        <w:ind w:firstLine="720"/>
        <w:jc w:val="both"/>
        <w:rPr>
          <w:b/>
          <w:sz w:val="16"/>
          <w:szCs w:val="16"/>
        </w:rPr>
      </w:pPr>
    </w:p>
    <w:tbl>
      <w:tblPr>
        <w:tblW w:w="0" w:type="auto"/>
        <w:tblInd w:w="240" w:type="dxa"/>
        <w:tblLayout w:type="fixed"/>
        <w:tblLook w:val="0000" w:firstRow="0" w:lastRow="0" w:firstColumn="0" w:lastColumn="0" w:noHBand="0" w:noVBand="0"/>
      </w:tblPr>
      <w:tblGrid>
        <w:gridCol w:w="7088"/>
        <w:gridCol w:w="1118"/>
        <w:gridCol w:w="1453"/>
      </w:tblGrid>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pacing w:before="0"/>
              <w:jc w:val="both"/>
            </w:pPr>
            <w:r w:rsidRPr="005F0287">
              <w:rPr>
                <w:szCs w:val="22"/>
              </w:rPr>
              <w:t>Количество</w:t>
            </w: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r w:rsidR="00D61E4D" w:rsidRPr="005F0287" w:rsidTr="003A4A22">
        <w:trPr>
          <w:trHeight w:val="180"/>
        </w:trPr>
        <w:tc>
          <w:tcPr>
            <w:tcW w:w="708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rPr>
                <w:b/>
              </w:rPr>
            </w:pPr>
            <w:r w:rsidRPr="005F0287">
              <w:rPr>
                <w:b/>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D61E4D" w:rsidRPr="005F0287" w:rsidRDefault="00D61E4D" w:rsidP="005F0287">
            <w:pPr>
              <w:spacing w:before="0"/>
              <w:jc w:val="both"/>
            </w:pPr>
            <w:r w:rsidRPr="005F0287">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D61E4D" w:rsidRPr="005F0287" w:rsidRDefault="00D61E4D" w:rsidP="005F0287">
            <w:pPr>
              <w:snapToGrid w:val="0"/>
              <w:spacing w:before="0"/>
              <w:rPr>
                <w:b/>
              </w:rPr>
            </w:pPr>
          </w:p>
        </w:tc>
      </w:tr>
    </w:tbl>
    <w:p w:rsidR="00D61E4D" w:rsidRPr="005F0287" w:rsidRDefault="00D61E4D" w:rsidP="005F0287">
      <w:pPr>
        <w:autoSpaceDE w:val="0"/>
        <w:spacing w:before="0"/>
        <w:jc w:val="both"/>
        <w:rPr>
          <w:sz w:val="16"/>
          <w:szCs w:val="16"/>
        </w:rPr>
      </w:pPr>
    </w:p>
    <w:p w:rsidR="00D61E4D" w:rsidRPr="005F0287" w:rsidRDefault="00D61E4D" w:rsidP="005F0287">
      <w:pPr>
        <w:spacing w:before="0"/>
        <w:ind w:firstLine="567"/>
        <w:jc w:val="both"/>
        <w:rPr>
          <w:szCs w:val="22"/>
        </w:rPr>
      </w:pPr>
      <w:r w:rsidRPr="005F0287">
        <w:rPr>
          <w:szCs w:val="22"/>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D61E4D" w:rsidRPr="005F0287" w:rsidRDefault="00D61E4D" w:rsidP="005F0287">
      <w:pPr>
        <w:spacing w:before="0"/>
        <w:ind w:firstLine="567"/>
        <w:jc w:val="both"/>
        <w:rPr>
          <w:szCs w:val="22"/>
        </w:rPr>
      </w:pPr>
      <w:r w:rsidRPr="005F0287">
        <w:rPr>
          <w:szCs w:val="22"/>
        </w:rPr>
        <w:t>В случае отсутствия у Заказчика материалов и запасных частей для выполнения дополнительных работ, Подрядчик обязан их приобрести.</w:t>
      </w:r>
    </w:p>
    <w:p w:rsidR="00D61E4D" w:rsidRPr="005F0287" w:rsidRDefault="00D61E4D" w:rsidP="005F0287">
      <w:pPr>
        <w:autoSpaceDE w:val="0"/>
        <w:spacing w:before="0"/>
        <w:ind w:firstLine="720"/>
        <w:jc w:val="both"/>
        <w:rPr>
          <w:szCs w:val="22"/>
        </w:rPr>
      </w:pPr>
      <w:r w:rsidRPr="005F0287">
        <w:rPr>
          <w:szCs w:val="22"/>
        </w:rPr>
        <w:t>Удорожание работ, не предусмотренное дополнительным соглашением к Договору подряда, оплате не подлежит.</w:t>
      </w:r>
    </w:p>
    <w:p w:rsidR="00D61E4D" w:rsidRPr="005F0287" w:rsidRDefault="00D61E4D" w:rsidP="005F0287">
      <w:pPr>
        <w:autoSpaceDE w:val="0"/>
        <w:spacing w:before="0"/>
        <w:ind w:firstLine="720"/>
        <w:jc w:val="both"/>
        <w:rPr>
          <w:szCs w:val="22"/>
        </w:rPr>
      </w:pPr>
      <w:r w:rsidRPr="005F0287">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D61E4D" w:rsidRPr="005F0287" w:rsidRDefault="00D61E4D" w:rsidP="005F0287">
      <w:pPr>
        <w:spacing w:before="0"/>
        <w:ind w:firstLine="567"/>
        <w:jc w:val="both"/>
        <w:rPr>
          <w:szCs w:val="22"/>
        </w:rPr>
      </w:pPr>
      <w:r w:rsidRPr="005F0287">
        <w:rPr>
          <w:szCs w:val="22"/>
        </w:rPr>
        <w:t>Стоимость опциона - не более 30 % от стоимости работ по Договору, указанной в п. 3.1.</w:t>
      </w:r>
    </w:p>
    <w:p w:rsidR="00D61E4D" w:rsidRPr="005F0287" w:rsidRDefault="00D61E4D" w:rsidP="005F0287">
      <w:pPr>
        <w:spacing w:before="0"/>
        <w:jc w:val="both"/>
        <w:rPr>
          <w:szCs w:val="22"/>
        </w:rPr>
      </w:pPr>
      <w:r w:rsidRPr="005F0287">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D61E4D" w:rsidRPr="005F0287" w:rsidRDefault="00D61E4D" w:rsidP="005F0287">
      <w:pPr>
        <w:spacing w:before="0"/>
        <w:ind w:firstLine="709"/>
        <w:jc w:val="both"/>
        <w:rPr>
          <w:szCs w:val="22"/>
        </w:rPr>
      </w:pPr>
      <w:r w:rsidRPr="005F0287">
        <w:rPr>
          <w:szCs w:val="22"/>
        </w:rPr>
        <w:t>Выбор подрядчика на проведение комплекса работ будет осуществляться в два этапа:</w:t>
      </w:r>
    </w:p>
    <w:p w:rsidR="00D61E4D" w:rsidRPr="005F0287" w:rsidRDefault="00D61E4D" w:rsidP="005F0287">
      <w:pPr>
        <w:numPr>
          <w:ilvl w:val="0"/>
          <w:numId w:val="8"/>
        </w:numPr>
        <w:spacing w:before="0"/>
        <w:jc w:val="both"/>
        <w:rPr>
          <w:szCs w:val="22"/>
        </w:rPr>
      </w:pPr>
      <w:r w:rsidRPr="005F0287">
        <w:rPr>
          <w:szCs w:val="22"/>
        </w:rPr>
        <w:t>Этап оценки соответствия технических частей оферт – по совокупности критериев, указанных в форме «Требования к Контрагенту».</w:t>
      </w:r>
    </w:p>
    <w:p w:rsidR="00D61E4D" w:rsidRPr="005F0287" w:rsidRDefault="00D61E4D" w:rsidP="005F0287">
      <w:pPr>
        <w:numPr>
          <w:ilvl w:val="0"/>
          <w:numId w:val="8"/>
        </w:numPr>
        <w:spacing w:before="0"/>
        <w:jc w:val="both"/>
        <w:rPr>
          <w:szCs w:val="22"/>
        </w:rPr>
      </w:pPr>
      <w:r w:rsidRPr="005F0287">
        <w:rPr>
          <w:szCs w:val="22"/>
        </w:rPr>
        <w:t>Этап рассмотрения коммерческих частей оферт – по совокупности следующих критериев оценки:</w:t>
      </w:r>
    </w:p>
    <w:p w:rsidR="00D61E4D" w:rsidRPr="005F0287" w:rsidRDefault="00D61E4D" w:rsidP="005F0287">
      <w:pPr>
        <w:spacing w:before="0"/>
        <w:ind w:firstLine="709"/>
        <w:jc w:val="both"/>
        <w:rPr>
          <w:b/>
          <w:szCs w:val="22"/>
        </w:rPr>
      </w:pPr>
      <w:r w:rsidRPr="005F0287">
        <w:rPr>
          <w:szCs w:val="22"/>
        </w:rPr>
        <w:t>- твердая договорная цена на работы по капитальному ремонту установки Изомалк-2 Каталитическое производство согласно графика простоев в 2019 году</w:t>
      </w:r>
      <w:r w:rsidRPr="005F0287">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2E0A46" w:rsidRPr="005F0287" w:rsidRDefault="00D61E4D" w:rsidP="005F0287">
      <w:pPr>
        <w:suppressAutoHyphens/>
        <w:spacing w:before="0"/>
        <w:contextualSpacing/>
        <w:jc w:val="both"/>
        <w:rPr>
          <w:rFonts w:cs="Arial"/>
          <w:b/>
          <w:szCs w:val="22"/>
          <w:u w:val="single"/>
        </w:rPr>
      </w:pPr>
      <w:r w:rsidRPr="005F0287">
        <w:rPr>
          <w:szCs w:val="22"/>
        </w:rPr>
        <w:t xml:space="preserve">- регламенты определения стоимости работ на последующие работы (по форме в проекте Договора). Оценка регламентов будет производиться в соответствии с </w:t>
      </w:r>
      <w:r w:rsidR="002E0A46" w:rsidRPr="005F0287">
        <w:rPr>
          <w:rFonts w:cs="Arial"/>
          <w:szCs w:val="22"/>
        </w:rPr>
        <w:t>«Методикой оценки регламентов определения стоимости работ» (</w:t>
      </w:r>
      <w:r w:rsidR="00A22573" w:rsidRPr="005F0287">
        <w:rPr>
          <w:rFonts w:cs="Arial"/>
          <w:szCs w:val="22"/>
        </w:rPr>
        <w:t>по Форме 12 ПДО</w:t>
      </w:r>
      <w:r w:rsidR="002E0A46" w:rsidRPr="005F0287">
        <w:rPr>
          <w:rFonts w:cs="Arial"/>
          <w:szCs w:val="22"/>
        </w:rPr>
        <w:t>).</w:t>
      </w:r>
    </w:p>
    <w:p w:rsidR="00C1210D" w:rsidRPr="005F0287" w:rsidRDefault="00C1210D" w:rsidP="005F0287">
      <w:pPr>
        <w:autoSpaceDE w:val="0"/>
        <w:spacing w:before="0"/>
        <w:ind w:firstLine="567"/>
        <w:jc w:val="both"/>
        <w:rPr>
          <w:b/>
          <w:szCs w:val="22"/>
        </w:rPr>
      </w:pPr>
      <w:r w:rsidRPr="005F0287">
        <w:rPr>
          <w:b/>
          <w:szCs w:val="22"/>
        </w:rPr>
        <w:t>Локальные сметы №</w:t>
      </w:r>
      <w:r w:rsidR="005F0287" w:rsidRPr="0016078F">
        <w:rPr>
          <w:b/>
          <w:szCs w:val="22"/>
        </w:rPr>
        <w:t>135-2018, 58/18, 59/18</w:t>
      </w:r>
      <w:r w:rsidR="006A4BAD">
        <w:rPr>
          <w:b/>
          <w:szCs w:val="22"/>
        </w:rPr>
        <w:t xml:space="preserve">, </w:t>
      </w:r>
      <w:r w:rsidR="00757E34" w:rsidRPr="005F0287">
        <w:rPr>
          <w:b/>
          <w:szCs w:val="22"/>
        </w:rPr>
        <w:t>представленные</w:t>
      </w:r>
      <w:r w:rsidRPr="005F0287">
        <w:rPr>
          <w:b/>
          <w:szCs w:val="22"/>
        </w:rPr>
        <w:t xml:space="preserve"> в составе проектно-технической документации изменениям со стороны контрагентов не подлежат.</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r w:rsidR="006619CE">
        <w:rPr>
          <w:szCs w:val="22"/>
        </w:rPr>
        <w:t>утвержденная дефектная ведомость на капитальный</w:t>
      </w:r>
      <w:r w:rsidR="006619CE" w:rsidRPr="006C0156">
        <w:rPr>
          <w:szCs w:val="22"/>
        </w:rPr>
        <w:t xml:space="preserve"> ремонт</w:t>
      </w:r>
      <w:r w:rsidR="006619CE">
        <w:rPr>
          <w:szCs w:val="22"/>
        </w:rPr>
        <w:t xml:space="preserve"> установки Изомалк-2</w:t>
      </w:r>
      <w:r w:rsidR="006619CE" w:rsidRPr="00096C79">
        <w:rPr>
          <w:szCs w:val="22"/>
        </w:rPr>
        <w:t xml:space="preserve"> Каталитическое производство в 2019 году</w:t>
      </w:r>
      <w:r w:rsidR="006619CE" w:rsidRPr="006C0156">
        <w:rPr>
          <w:szCs w:val="22"/>
        </w:rPr>
        <w:t xml:space="preserve">, </w:t>
      </w:r>
      <w:r w:rsidR="006619CE">
        <w:rPr>
          <w:szCs w:val="22"/>
        </w:rPr>
        <w:t xml:space="preserve">утвержденная Разделительная ведомость поставки материалов на капитальный ремонт </w:t>
      </w:r>
      <w:r w:rsidR="006619CE" w:rsidRPr="00096C79">
        <w:rPr>
          <w:szCs w:val="22"/>
        </w:rPr>
        <w:t xml:space="preserve">установки </w:t>
      </w:r>
      <w:r w:rsidR="006619CE">
        <w:rPr>
          <w:szCs w:val="22"/>
        </w:rPr>
        <w:t>Изомалк-2</w:t>
      </w:r>
      <w:r w:rsidR="006619CE" w:rsidRPr="00096C79">
        <w:rPr>
          <w:szCs w:val="22"/>
        </w:rPr>
        <w:t xml:space="preserve"> Каталитическое производство в 2019 году</w:t>
      </w:r>
      <w:r w:rsidR="006619CE">
        <w:rPr>
          <w:szCs w:val="22"/>
        </w:rPr>
        <w:t xml:space="preserve">, локальные сметы № </w:t>
      </w:r>
      <w:r w:rsidR="006619CE" w:rsidRPr="0016078F">
        <w:rPr>
          <w:szCs w:val="22"/>
        </w:rPr>
        <w:t>135</w:t>
      </w:r>
      <w:r w:rsidR="006619CE" w:rsidRPr="0016078F">
        <w:rPr>
          <w:b/>
          <w:szCs w:val="22"/>
        </w:rPr>
        <w:t>-</w:t>
      </w:r>
      <w:r w:rsidR="006619CE" w:rsidRPr="0016078F">
        <w:rPr>
          <w:szCs w:val="22"/>
        </w:rPr>
        <w:t>2018</w:t>
      </w:r>
      <w:r w:rsidR="006619CE">
        <w:rPr>
          <w:szCs w:val="22"/>
        </w:rPr>
        <w:t xml:space="preserve">, 58/18, 59/18 на работы по </w:t>
      </w:r>
      <w:r w:rsidR="006619CE" w:rsidRPr="006C0156">
        <w:rPr>
          <w:szCs w:val="22"/>
        </w:rPr>
        <w:t xml:space="preserve">капитальному ремонту </w:t>
      </w:r>
      <w:r w:rsidR="006619CE" w:rsidRPr="00096C79">
        <w:rPr>
          <w:szCs w:val="22"/>
        </w:rPr>
        <w:t xml:space="preserve">установки </w:t>
      </w:r>
      <w:r w:rsidR="006619CE">
        <w:rPr>
          <w:szCs w:val="22"/>
        </w:rPr>
        <w:t>Изомалк-2</w:t>
      </w:r>
      <w:r w:rsidR="006619CE" w:rsidRPr="00096C79">
        <w:rPr>
          <w:szCs w:val="22"/>
        </w:rPr>
        <w:t xml:space="preserve"> Каталитическое производство в 2019 году</w:t>
      </w:r>
      <w:r w:rsidR="006619CE">
        <w:rPr>
          <w:szCs w:val="22"/>
        </w:rPr>
        <w:t xml:space="preserve"> </w:t>
      </w:r>
      <w:r w:rsidR="00207816" w:rsidRPr="00F815C6">
        <w:rPr>
          <w:color w:val="000000"/>
          <w:szCs w:val="22"/>
        </w:rPr>
        <w:t xml:space="preserve">передаются Контрагентам в электронном </w:t>
      </w:r>
      <w:r w:rsidR="00207816"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СП 16.13330.2011, СП 63.13330.2012, СП 70.13330.2012, СП 45.13330.2012, СП 75.13330.2011, СП 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987"/>
        <w:gridCol w:w="1559"/>
        <w:gridCol w:w="1417"/>
        <w:gridCol w:w="750"/>
      </w:tblGrid>
      <w:tr w:rsidR="006619CE" w:rsidTr="006E6124">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bCs/>
                <w:sz w:val="20"/>
                <w:szCs w:val="20"/>
              </w:rPr>
            </w:pPr>
            <w:r w:rsidRPr="006619CE">
              <w:rPr>
                <w:rFonts w:ascii="Courier New" w:hAnsi="Courier New" w:cs="Courier New"/>
                <w:b/>
                <w:bCs/>
                <w:sz w:val="20"/>
                <w:szCs w:val="20"/>
              </w:rPr>
              <w:t>№</w:t>
            </w:r>
            <w:r w:rsidRPr="006619CE">
              <w:rPr>
                <w:rFonts w:ascii="Arial monospaced for SAP" w:hAnsi="Arial monospaced for SAP"/>
                <w:b/>
                <w:bCs/>
                <w:sz w:val="20"/>
                <w:szCs w:val="20"/>
              </w:rPr>
              <w:t xml:space="preserve"> </w:t>
            </w:r>
            <w:r w:rsidRPr="006619CE">
              <w:rPr>
                <w:rFonts w:ascii="Calibri" w:hAnsi="Calibri" w:cs="Calibri"/>
                <w:b/>
                <w:bCs/>
                <w:sz w:val="20"/>
                <w:szCs w:val="20"/>
              </w:rPr>
              <w:t>п</w:t>
            </w:r>
            <w:r w:rsidRPr="006619CE">
              <w:rPr>
                <w:rFonts w:ascii="Arial monospaced for SAP" w:hAnsi="Arial monospaced for SAP"/>
                <w:b/>
                <w:bCs/>
                <w:sz w:val="20"/>
                <w:szCs w:val="20"/>
              </w:rPr>
              <w:t>/</w:t>
            </w:r>
            <w:r w:rsidRPr="006619CE">
              <w:rPr>
                <w:rFonts w:ascii="Calibri" w:hAnsi="Calibri" w:cs="Calibri"/>
                <w:b/>
                <w:bCs/>
                <w:sz w:val="20"/>
                <w:szCs w:val="20"/>
              </w:rPr>
              <w:t>п</w:t>
            </w:r>
          </w:p>
        </w:tc>
        <w:tc>
          <w:tcPr>
            <w:tcW w:w="3676"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bCs/>
                <w:sz w:val="20"/>
                <w:szCs w:val="20"/>
              </w:rPr>
            </w:pPr>
            <w:r w:rsidRPr="006619CE">
              <w:rPr>
                <w:rFonts w:ascii="Calibri" w:hAnsi="Calibri" w:cs="Calibri"/>
                <w:b/>
                <w:bCs/>
                <w:sz w:val="20"/>
                <w:szCs w:val="20"/>
              </w:rPr>
              <w:t>Требование</w:t>
            </w:r>
            <w:r w:rsidRPr="006619CE">
              <w:rPr>
                <w:rFonts w:ascii="Arial monospaced for SAP" w:hAnsi="Arial monospaced for SAP"/>
                <w:b/>
                <w:bCs/>
                <w:sz w:val="20"/>
                <w:szCs w:val="20"/>
              </w:rPr>
              <w:t xml:space="preserve"> </w:t>
            </w:r>
            <w:r w:rsidRPr="006619CE">
              <w:rPr>
                <w:rFonts w:ascii="Arial monospaced for SAP" w:hAnsi="Arial monospaced for SAP"/>
                <w:b/>
                <w:bCs/>
                <w:sz w:val="20"/>
                <w:szCs w:val="20"/>
              </w:rPr>
              <w:br/>
              <w:t>(</w:t>
            </w:r>
            <w:r w:rsidRPr="006619CE">
              <w:rPr>
                <w:rFonts w:ascii="Calibri" w:hAnsi="Calibri" w:cs="Calibri"/>
                <w:b/>
                <w:bCs/>
                <w:sz w:val="20"/>
                <w:szCs w:val="20"/>
              </w:rPr>
              <w:t>параметр</w:t>
            </w:r>
            <w:r w:rsidRPr="006619CE">
              <w:rPr>
                <w:rFonts w:ascii="Arial monospaced for SAP" w:hAnsi="Arial monospaced for SAP"/>
                <w:b/>
                <w:bCs/>
                <w:sz w:val="20"/>
                <w:szCs w:val="20"/>
              </w:rPr>
              <w:t xml:space="preserve"> </w:t>
            </w:r>
            <w:r w:rsidRPr="006619CE">
              <w:rPr>
                <w:rFonts w:ascii="Calibri" w:hAnsi="Calibri" w:cs="Calibri"/>
                <w:b/>
                <w:bCs/>
                <w:sz w:val="20"/>
                <w:szCs w:val="20"/>
              </w:rPr>
              <w:t>оценки</w:t>
            </w:r>
            <w:r w:rsidRPr="006619CE">
              <w:rPr>
                <w:rFonts w:ascii="Arial monospaced for SAP" w:hAnsi="Arial monospaced for SAP"/>
                <w:b/>
                <w:bCs/>
                <w:sz w:val="20"/>
                <w:szCs w:val="20"/>
              </w:rPr>
              <w:t>)</w:t>
            </w:r>
          </w:p>
        </w:tc>
        <w:tc>
          <w:tcPr>
            <w:tcW w:w="2987"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bCs/>
                <w:sz w:val="20"/>
                <w:szCs w:val="20"/>
              </w:rPr>
            </w:pPr>
            <w:r w:rsidRPr="006619CE">
              <w:rPr>
                <w:rFonts w:ascii="Calibri" w:hAnsi="Calibri" w:cs="Calibri"/>
                <w:b/>
                <w:bCs/>
                <w:sz w:val="20"/>
                <w:szCs w:val="20"/>
              </w:rPr>
              <w:t>Документы</w:t>
            </w:r>
            <w:r w:rsidRPr="006619CE">
              <w:rPr>
                <w:rFonts w:ascii="Arial monospaced for SAP" w:hAnsi="Arial monospaced for SAP"/>
                <w:b/>
                <w:bCs/>
                <w:sz w:val="20"/>
                <w:szCs w:val="20"/>
              </w:rPr>
              <w:t xml:space="preserve">, </w:t>
            </w:r>
            <w:r w:rsidRPr="006619CE">
              <w:rPr>
                <w:rFonts w:ascii="Calibri" w:hAnsi="Calibri" w:cs="Calibri"/>
                <w:b/>
                <w:bCs/>
                <w:sz w:val="20"/>
                <w:szCs w:val="20"/>
              </w:rPr>
              <w:t>подтверждающие</w:t>
            </w:r>
            <w:r w:rsidRPr="006619CE">
              <w:rPr>
                <w:rFonts w:ascii="Arial monospaced for SAP" w:hAnsi="Arial monospaced for SAP"/>
                <w:b/>
                <w:bCs/>
                <w:sz w:val="20"/>
                <w:szCs w:val="20"/>
              </w:rPr>
              <w:t xml:space="preserve"> </w:t>
            </w:r>
            <w:r w:rsidRPr="006619CE">
              <w:rPr>
                <w:rFonts w:ascii="Calibri" w:hAnsi="Calibri" w:cs="Calibri"/>
                <w:b/>
                <w:bCs/>
                <w:sz w:val="20"/>
                <w:szCs w:val="20"/>
              </w:rPr>
              <w:t>соответствия</w:t>
            </w:r>
            <w:r w:rsidRPr="006619CE">
              <w:rPr>
                <w:rFonts w:ascii="Arial monospaced for SAP" w:hAnsi="Arial monospaced for SAP"/>
                <w:b/>
                <w:bCs/>
                <w:sz w:val="20"/>
                <w:szCs w:val="20"/>
              </w:rPr>
              <w:t xml:space="preserve"> </w:t>
            </w:r>
            <w:r w:rsidRPr="006619CE">
              <w:rPr>
                <w:rFonts w:ascii="Calibri" w:hAnsi="Calibri" w:cs="Calibri"/>
                <w:b/>
                <w:bCs/>
                <w:sz w:val="20"/>
                <w:szCs w:val="20"/>
              </w:rPr>
              <w:t>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bCs/>
                <w:sz w:val="20"/>
                <w:szCs w:val="20"/>
              </w:rPr>
            </w:pPr>
            <w:r w:rsidRPr="006619CE">
              <w:rPr>
                <w:rFonts w:ascii="Calibri" w:hAnsi="Calibri" w:cs="Calibri"/>
                <w:b/>
                <w:bCs/>
                <w:sz w:val="20"/>
                <w:szCs w:val="20"/>
              </w:rPr>
              <w:t>Единица</w:t>
            </w:r>
            <w:r w:rsidRPr="006619CE">
              <w:rPr>
                <w:rFonts w:ascii="Arial monospaced for SAP" w:hAnsi="Arial monospaced for SAP"/>
                <w:b/>
                <w:bCs/>
                <w:sz w:val="20"/>
                <w:szCs w:val="20"/>
              </w:rPr>
              <w:t xml:space="preserve"> </w:t>
            </w:r>
            <w:r w:rsidRPr="006619CE">
              <w:rPr>
                <w:rFonts w:ascii="Calibri" w:hAnsi="Calibri" w:cs="Calibri"/>
                <w:b/>
                <w:bCs/>
                <w:sz w:val="20"/>
                <w:szCs w:val="20"/>
              </w:rPr>
              <w:t>измерения</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bCs/>
                <w:sz w:val="20"/>
                <w:szCs w:val="20"/>
              </w:rPr>
            </w:pPr>
            <w:r w:rsidRPr="006619CE">
              <w:rPr>
                <w:rFonts w:ascii="Calibri" w:hAnsi="Calibri" w:cs="Calibri"/>
                <w:b/>
                <w:bCs/>
                <w:sz w:val="20"/>
                <w:szCs w:val="20"/>
              </w:rPr>
              <w:t>Условия</w:t>
            </w:r>
            <w:r w:rsidRPr="006619CE">
              <w:rPr>
                <w:rFonts w:ascii="Arial monospaced for SAP" w:hAnsi="Arial monospaced for SAP"/>
                <w:b/>
                <w:bCs/>
                <w:sz w:val="20"/>
                <w:szCs w:val="20"/>
              </w:rPr>
              <w:t xml:space="preserve"> </w:t>
            </w:r>
            <w:r w:rsidRPr="006619CE">
              <w:rPr>
                <w:rFonts w:ascii="Calibri" w:hAnsi="Calibri" w:cs="Calibri"/>
                <w:b/>
                <w:bCs/>
                <w:sz w:val="20"/>
                <w:szCs w:val="20"/>
              </w:rPr>
              <w:t>соответствия</w:t>
            </w:r>
          </w:p>
        </w:tc>
      </w:tr>
      <w:tr w:rsidR="006619CE" w:rsidTr="006E6124">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sz w:val="20"/>
                <w:szCs w:val="20"/>
              </w:rPr>
            </w:pPr>
            <w:r w:rsidRPr="006619CE">
              <w:rPr>
                <w:rFonts w:ascii="Arial monospaced for SAP" w:hAnsi="Arial monospaced for SAP"/>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sz w:val="20"/>
                <w:szCs w:val="20"/>
              </w:rPr>
            </w:pPr>
            <w:r w:rsidRPr="006619CE">
              <w:rPr>
                <w:rFonts w:ascii="Arial monospaced for SAP" w:hAnsi="Arial monospaced for SAP"/>
                <w:b/>
                <w:sz w:val="20"/>
                <w:szCs w:val="20"/>
              </w:rPr>
              <w:t>2</w:t>
            </w:r>
          </w:p>
        </w:tc>
        <w:tc>
          <w:tcPr>
            <w:tcW w:w="2987"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sz w:val="20"/>
                <w:szCs w:val="20"/>
              </w:rPr>
            </w:pPr>
            <w:r w:rsidRPr="006619CE">
              <w:rPr>
                <w:rFonts w:ascii="Arial monospaced for SAP" w:hAnsi="Arial monospaced for SAP"/>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b/>
                <w:sz w:val="20"/>
                <w:szCs w:val="20"/>
              </w:rPr>
            </w:pPr>
            <w:r w:rsidRPr="006619CE">
              <w:rPr>
                <w:rFonts w:ascii="Arial monospaced for SAP" w:hAnsi="Arial monospaced for SAP"/>
                <w:b/>
                <w:sz w:val="20"/>
                <w:szCs w:val="20"/>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619CE" w:rsidRPr="006619CE" w:rsidRDefault="006619CE" w:rsidP="006619CE">
            <w:pPr>
              <w:spacing w:before="0"/>
              <w:rPr>
                <w:rFonts w:ascii="Arial monospaced for SAP" w:hAnsi="Arial monospaced for SAP"/>
                <w:sz w:val="20"/>
                <w:szCs w:val="20"/>
              </w:rPr>
            </w:pPr>
            <w:r w:rsidRPr="006619CE">
              <w:rPr>
                <w:rFonts w:ascii="Arial monospaced for SAP" w:hAnsi="Arial monospaced for SAP"/>
                <w:b/>
                <w:sz w:val="20"/>
                <w:szCs w:val="20"/>
              </w:rPr>
              <w:t>5</w:t>
            </w:r>
          </w:p>
        </w:tc>
      </w:tr>
      <w:tr w:rsidR="006619CE" w:rsidRPr="00232DB5" w:rsidTr="006E612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и нефтехимии, нефтегазовой отрасли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rPr>
                <w:rFonts w:cs="Arial"/>
                <w:sz w:val="20"/>
                <w:szCs w:val="20"/>
                <w:shd w:val="clear" w:color="auto" w:fill="FFFF00"/>
              </w:rPr>
            </w:pPr>
            <w:r w:rsidRPr="00C2105A">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ind w:left="34"/>
              <w:jc w:val="both"/>
              <w:rPr>
                <w:rFonts w:cs="Arial"/>
                <w:sz w:val="20"/>
                <w:szCs w:val="20"/>
              </w:rPr>
            </w:pPr>
            <w:r w:rsidRPr="0072691D">
              <w:rPr>
                <w:rFonts w:cs="Arial"/>
                <w:sz w:val="20"/>
                <w:szCs w:val="20"/>
              </w:rPr>
              <w:t>рубль, без НДС</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40 млн. руб.</w:t>
            </w:r>
          </w:p>
          <w:p w:rsidR="006619CE" w:rsidRPr="0072691D" w:rsidRDefault="006619CE" w:rsidP="006619CE">
            <w:pPr>
              <w:autoSpaceDE w:val="0"/>
              <w:spacing w:before="0"/>
              <w:jc w:val="both"/>
              <w:rPr>
                <w:rFonts w:cs="Arial"/>
                <w:sz w:val="20"/>
                <w:szCs w:val="20"/>
              </w:rPr>
            </w:pPr>
            <w:r w:rsidRPr="0072691D">
              <w:rPr>
                <w:rFonts w:cs="Arial"/>
                <w:sz w:val="20"/>
                <w:szCs w:val="20"/>
              </w:rPr>
              <w:t xml:space="preserve">и более </w:t>
            </w:r>
          </w:p>
          <w:p w:rsidR="006619CE" w:rsidRPr="0072691D" w:rsidRDefault="006619CE" w:rsidP="006619CE">
            <w:pPr>
              <w:autoSpaceDE w:val="0"/>
              <w:spacing w:before="0"/>
              <w:jc w:val="both"/>
              <w:rPr>
                <w:rFonts w:cs="Arial"/>
                <w:sz w:val="20"/>
                <w:szCs w:val="20"/>
                <w:highlight w:val="yellow"/>
              </w:rPr>
            </w:pPr>
          </w:p>
          <w:p w:rsidR="006619CE" w:rsidRPr="0072691D" w:rsidRDefault="006619CE" w:rsidP="006619CE">
            <w:pPr>
              <w:autoSpaceDE w:val="0"/>
              <w:spacing w:before="0"/>
              <w:jc w:val="both"/>
              <w:rPr>
                <w:rFonts w:cs="Arial"/>
                <w:sz w:val="20"/>
                <w:szCs w:val="20"/>
              </w:rPr>
            </w:pPr>
          </w:p>
        </w:tc>
      </w:tr>
      <w:tr w:rsidR="006619CE" w:rsidRPr="009571D3" w:rsidTr="006E612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ind w:left="34"/>
              <w:jc w:val="both"/>
              <w:rPr>
                <w:rFonts w:cs="Arial"/>
                <w:sz w:val="20"/>
                <w:szCs w:val="20"/>
              </w:rPr>
            </w:pPr>
            <w:r w:rsidRPr="0072691D">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tabs>
                <w:tab w:val="left" w:pos="644"/>
              </w:tabs>
              <w:autoSpaceDE w:val="0"/>
              <w:spacing w:before="0"/>
              <w:ind w:left="34"/>
              <w:jc w:val="both"/>
              <w:rPr>
                <w:rFonts w:cs="Arial"/>
                <w:sz w:val="20"/>
                <w:szCs w:val="20"/>
              </w:rPr>
            </w:pPr>
            <w:r w:rsidRPr="00C2105A">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наличие/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наличие</w:t>
            </w: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r w:rsidRPr="00C2105A">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Pr="00E77012" w:rsidRDefault="006619CE" w:rsidP="003A4A22">
            <w:pPr>
              <w:rPr>
                <w:rFonts w:cs="Arial"/>
              </w:rPr>
            </w:pP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ind w:left="34"/>
              <w:jc w:val="both"/>
              <w:rPr>
                <w:rFonts w:eastAsia="Calibri" w:cs="Arial"/>
                <w:sz w:val="20"/>
                <w:szCs w:val="20"/>
              </w:rPr>
            </w:pPr>
            <w:r w:rsidRPr="0072691D">
              <w:rPr>
                <w:rFonts w:cs="Arial"/>
                <w:sz w:val="20"/>
                <w:szCs w:val="20"/>
              </w:rPr>
              <w:t>Для обеспечения работ организация должна иметь:</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750" w:type="dxa"/>
            <w:vAlign w:val="center"/>
          </w:tcPr>
          <w:p w:rsidR="006619CE" w:rsidRPr="00E77012" w:rsidRDefault="006619CE" w:rsidP="003A4A22">
            <w:pPr>
              <w:rPr>
                <w:rFonts w:cs="Arial"/>
              </w:rPr>
            </w:pP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987" w:type="dxa"/>
            <w:tcBorders>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r w:rsidRPr="00C2105A">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Pr="00E77012" w:rsidRDefault="006619CE" w:rsidP="003A4A22">
            <w:pPr>
              <w:rPr>
                <w:rFonts w:cs="Arial"/>
              </w:rPr>
            </w:pP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 xml:space="preserve">-наличие Политики в области ПБ, ОТ </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r w:rsidRPr="00C2105A">
              <w:rPr>
                <w:rFonts w:cs="Arial"/>
                <w:sz w:val="20"/>
                <w:szCs w:val="20"/>
              </w:rPr>
              <w:t>Копия Политики в области ПБ, ОТ</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Pr="00E77012" w:rsidRDefault="006619CE" w:rsidP="003A4A22">
            <w:pPr>
              <w:rPr>
                <w:rFonts w:cs="Arial"/>
              </w:rPr>
            </w:pP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-наличие инструкций по профессиям и каждому виду выполняемых работ,</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r w:rsidRPr="00C2105A">
              <w:rPr>
                <w:rFonts w:cs="Arial"/>
                <w:sz w:val="20"/>
                <w:szCs w:val="20"/>
              </w:rPr>
              <w:t>Копия документов, подтверждающих наличие инструкций</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Pr="00E77012" w:rsidRDefault="006619CE" w:rsidP="003A4A22">
            <w:pPr>
              <w:rPr>
                <w:rFonts w:cs="Arial"/>
              </w:rPr>
            </w:pPr>
          </w:p>
        </w:tc>
      </w:tr>
      <w:tr w:rsidR="006619CE" w:rsidRPr="00E77012"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r w:rsidRPr="00C2105A">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6619CE" w:rsidP="006E6124">
            <w:pPr>
              <w:spacing w:before="0"/>
              <w:rPr>
                <w:rFonts w:cs="Arial"/>
                <w:sz w:val="20"/>
                <w:szCs w:val="20"/>
              </w:rPr>
            </w:pPr>
            <w:r w:rsidRPr="0072691D">
              <w:rPr>
                <w:rFonts w:cs="Arial"/>
                <w:sz w:val="20"/>
                <w:szCs w:val="20"/>
              </w:rPr>
              <w:t>Не менее 1 инженера по ТБ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Pr="00E77012"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 xml:space="preserve">- персонал по ремонту технологических установок, имеющих опыт выполнения работ по разборке, сборке, ремонту, обслуживанию фланцевых соединений, аппаратов, </w:t>
            </w:r>
            <w:r w:rsidR="003A4A22" w:rsidRPr="0072691D">
              <w:rPr>
                <w:rFonts w:cs="Arial"/>
                <w:sz w:val="20"/>
                <w:szCs w:val="20"/>
              </w:rPr>
              <w:t>трубопроводов, КИПиА</w:t>
            </w:r>
            <w:r w:rsidRPr="0072691D">
              <w:rPr>
                <w:rFonts w:cs="Arial"/>
                <w:sz w:val="20"/>
                <w:szCs w:val="20"/>
              </w:rPr>
              <w:t>,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6619CE" w:rsidRPr="0072691D" w:rsidRDefault="006619CE" w:rsidP="006619CE">
            <w:pPr>
              <w:autoSpaceDE w:val="0"/>
              <w:spacing w:before="0"/>
              <w:jc w:val="both"/>
              <w:rPr>
                <w:rFonts w:cs="Arial"/>
                <w:sz w:val="20"/>
                <w:szCs w:val="20"/>
              </w:rPr>
            </w:pPr>
            <w:r w:rsidRPr="0072691D">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autoSpaceDE w:val="0"/>
              <w:spacing w:before="0"/>
              <w:jc w:val="both"/>
              <w:rPr>
                <w:rFonts w:cs="Arial"/>
                <w:sz w:val="20"/>
                <w:szCs w:val="20"/>
              </w:rPr>
            </w:pPr>
            <w:r w:rsidRPr="00C2105A">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highlight w:val="yellow"/>
              </w:rPr>
            </w:pPr>
            <w:r w:rsidRPr="0072691D">
              <w:rPr>
                <w:rFonts w:cs="Arial"/>
                <w:sz w:val="20"/>
                <w:szCs w:val="20"/>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3A4A22">
            <w:pPr>
              <w:spacing w:before="0"/>
              <w:rPr>
                <w:rFonts w:cs="Arial"/>
                <w:sz w:val="20"/>
                <w:szCs w:val="20"/>
                <w:highlight w:val="green"/>
              </w:rPr>
            </w:pPr>
            <w:r w:rsidRPr="0072691D">
              <w:rPr>
                <w:rFonts w:cs="Arial"/>
                <w:sz w:val="20"/>
                <w:szCs w:val="20"/>
              </w:rPr>
              <w:t xml:space="preserve">100 и более </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Наличие в организации аттестованных специалистов сварочного производства I уровня (сварщик)</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cs="Arial"/>
                <w:sz w:val="20"/>
                <w:szCs w:val="20"/>
              </w:rPr>
            </w:pPr>
            <w:r w:rsidRPr="00C2105A">
              <w:rPr>
                <w:rFonts w:cs="Arial"/>
                <w:sz w:val="20"/>
                <w:szCs w:val="20"/>
              </w:rPr>
              <w:t>Копии отчетов о прохождении работниками аттестации и копии аттестационных удостоверений сварщиков</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12 и более</w:t>
            </w:r>
          </w:p>
        </w:tc>
        <w:tc>
          <w:tcPr>
            <w:tcW w:w="750" w:type="dxa"/>
            <w:vAlign w:val="center"/>
          </w:tcPr>
          <w:p w:rsidR="006619CE" w:rsidRDefault="006619CE" w:rsidP="003A4A22">
            <w:pPr>
              <w:rPr>
                <w:rFonts w:cs="Arial"/>
              </w:rPr>
            </w:pPr>
          </w:p>
        </w:tc>
      </w:tr>
      <w:tr w:rsidR="006619CE" w:rsidTr="006E6124">
        <w:trPr>
          <w:trHeight w:val="1714"/>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Наличие в организации специалистов сварочного производства II,</w:t>
            </w:r>
            <w:r w:rsidRPr="0072691D">
              <w:rPr>
                <w:rFonts w:cs="Arial"/>
                <w:sz w:val="20"/>
                <w:szCs w:val="20"/>
                <w:lang w:val="en-US"/>
              </w:rPr>
              <w:t>III</w:t>
            </w:r>
            <w:r w:rsidRPr="0072691D">
              <w:rPr>
                <w:rFonts w:cs="Arial"/>
                <w:sz w:val="20"/>
                <w:szCs w:val="20"/>
              </w:rPr>
              <w:t xml:space="preserve"> уровней</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cs="Arial"/>
                <w:sz w:val="20"/>
                <w:szCs w:val="20"/>
              </w:rPr>
            </w:pPr>
            <w:r w:rsidRPr="00C2105A">
              <w:rPr>
                <w:rFonts w:cs="Arial"/>
                <w:sz w:val="20"/>
                <w:szCs w:val="20"/>
              </w:rPr>
              <w:t xml:space="preserve">Копии отчетов о прохождении работниками аттестации </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3 и более </w:t>
            </w:r>
          </w:p>
          <w:p w:rsidR="006619CE" w:rsidRPr="0072691D" w:rsidRDefault="003A4A22" w:rsidP="006619CE">
            <w:pPr>
              <w:spacing w:before="0"/>
              <w:rPr>
                <w:rFonts w:cs="Arial"/>
                <w:sz w:val="20"/>
                <w:szCs w:val="20"/>
              </w:rPr>
            </w:pPr>
            <w:r w:rsidRPr="0072691D">
              <w:rPr>
                <w:rFonts w:cs="Arial"/>
                <w:sz w:val="20"/>
                <w:szCs w:val="20"/>
              </w:rPr>
              <w:t>(</w:t>
            </w:r>
            <w:r w:rsidR="006619CE" w:rsidRPr="0072691D">
              <w:rPr>
                <w:rFonts w:cs="Arial"/>
                <w:sz w:val="20"/>
                <w:szCs w:val="20"/>
              </w:rPr>
              <w:t xml:space="preserve">в т.ч </w:t>
            </w:r>
            <w:r w:rsidR="006619CE" w:rsidRPr="0072691D">
              <w:rPr>
                <w:rFonts w:cs="Arial"/>
                <w:sz w:val="20"/>
                <w:szCs w:val="20"/>
                <w:lang w:val="en-US"/>
              </w:rPr>
              <w:t>II</w:t>
            </w:r>
            <w:r w:rsidR="006619CE" w:rsidRPr="0072691D">
              <w:rPr>
                <w:rFonts w:cs="Arial"/>
                <w:sz w:val="20"/>
                <w:szCs w:val="20"/>
              </w:rPr>
              <w:t xml:space="preserve"> уровня – не менее 2, </w:t>
            </w:r>
          </w:p>
          <w:p w:rsidR="006619CE" w:rsidRPr="0072691D" w:rsidRDefault="006619CE" w:rsidP="006619CE">
            <w:pPr>
              <w:spacing w:before="0"/>
              <w:rPr>
                <w:rFonts w:cs="Arial"/>
                <w:sz w:val="20"/>
                <w:szCs w:val="20"/>
                <w:highlight w:val="green"/>
              </w:rPr>
            </w:pPr>
            <w:r w:rsidRPr="0072691D">
              <w:rPr>
                <w:rFonts w:cs="Arial"/>
                <w:sz w:val="20"/>
                <w:szCs w:val="20"/>
                <w:lang w:val="en-US"/>
              </w:rPr>
              <w:t>III</w:t>
            </w:r>
            <w:r w:rsidRPr="0072691D">
              <w:rPr>
                <w:rFonts w:cs="Arial"/>
                <w:sz w:val="20"/>
                <w:szCs w:val="20"/>
              </w:rPr>
              <w:t xml:space="preserve"> уровня – не менее 1) </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jc w:val="both"/>
              <w:rPr>
                <w:rFonts w:cs="Arial"/>
                <w:color w:val="0070C0"/>
                <w:sz w:val="20"/>
                <w:szCs w:val="20"/>
              </w:rPr>
            </w:pPr>
            <w:r w:rsidRPr="0072691D">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72691D">
              <w:rPr>
                <w:rFonts w:cs="Arial"/>
                <w:sz w:val="20"/>
                <w:szCs w:val="20"/>
                <w:vertAlign w:val="subscript"/>
              </w:rPr>
              <w:t>1</w:t>
            </w:r>
            <w:r w:rsidRPr="0072691D">
              <w:rPr>
                <w:rFonts w:cs="Arial"/>
                <w:sz w:val="20"/>
                <w:szCs w:val="20"/>
              </w:rPr>
              <w:t>, Б</w:t>
            </w:r>
            <w:r w:rsidRPr="0072691D">
              <w:rPr>
                <w:rFonts w:cs="Arial"/>
                <w:sz w:val="20"/>
                <w:szCs w:val="20"/>
                <w:vertAlign w:val="subscript"/>
              </w:rPr>
              <w:t>1.17</w:t>
            </w:r>
            <w:r w:rsidRPr="0072691D">
              <w:rPr>
                <w:rFonts w:cs="Arial"/>
                <w:sz w:val="20"/>
                <w:szCs w:val="20"/>
              </w:rPr>
              <w:t>, Б</w:t>
            </w:r>
            <w:r w:rsidRPr="0072691D">
              <w:rPr>
                <w:rFonts w:cs="Arial"/>
                <w:sz w:val="20"/>
                <w:szCs w:val="20"/>
                <w:vertAlign w:val="subscript"/>
              </w:rPr>
              <w:t>1.15</w:t>
            </w:r>
            <w:r w:rsidRPr="0072691D">
              <w:rPr>
                <w:rFonts w:cs="Arial"/>
                <w:sz w:val="20"/>
                <w:szCs w:val="20"/>
              </w:rPr>
              <w:t>.</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7F3646">
            <w:pPr>
              <w:spacing w:before="0"/>
              <w:rPr>
                <w:rFonts w:cs="Arial"/>
                <w:sz w:val="20"/>
                <w:szCs w:val="20"/>
              </w:rPr>
            </w:pPr>
            <w:r w:rsidRPr="00C2105A">
              <w:rPr>
                <w:rFonts w:cs="Arial"/>
                <w:sz w:val="20"/>
                <w:szCs w:val="20"/>
              </w:rPr>
              <w:t>Копии свидетельств и протоколов комиссий об аттестации</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highlight w:val="yellow"/>
              </w:rPr>
            </w:pPr>
            <w:r w:rsidRPr="0072691D">
              <w:rPr>
                <w:rFonts w:cs="Arial"/>
                <w:sz w:val="20"/>
                <w:szCs w:val="20"/>
              </w:rPr>
              <w:t>4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jc w:val="both"/>
              <w:rPr>
                <w:rFonts w:cs="Arial"/>
                <w:sz w:val="20"/>
                <w:szCs w:val="20"/>
              </w:rPr>
            </w:pPr>
            <w:r w:rsidRPr="0072691D">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987" w:type="dxa"/>
            <w:tcBorders>
              <w:top w:val="single" w:sz="4" w:space="0" w:color="000000"/>
              <w:left w:val="single" w:sz="4" w:space="0" w:color="000000"/>
              <w:bottom w:val="single" w:sz="4" w:space="0" w:color="000000"/>
            </w:tcBorders>
            <w:shd w:val="clear" w:color="auto" w:fill="auto"/>
          </w:tcPr>
          <w:p w:rsidR="006619CE" w:rsidRPr="00C2105A" w:rsidRDefault="006619CE" w:rsidP="006619CE">
            <w:pPr>
              <w:spacing w:before="0"/>
              <w:rPr>
                <w:rFonts w:cs="Arial"/>
                <w:sz w:val="20"/>
                <w:szCs w:val="20"/>
              </w:rPr>
            </w:pPr>
            <w:r w:rsidRPr="00C2105A">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3A4A22" w:rsidP="006619CE">
            <w:pPr>
              <w:spacing w:before="0"/>
              <w:rPr>
                <w:rFonts w:cs="Arial"/>
                <w:sz w:val="20"/>
                <w:szCs w:val="20"/>
              </w:rPr>
            </w:pPr>
            <w:r w:rsidRPr="0072691D">
              <w:rPr>
                <w:rFonts w:cs="Arial"/>
                <w:sz w:val="20"/>
                <w:szCs w:val="20"/>
              </w:rPr>
              <w:t>н</w:t>
            </w:r>
            <w:r w:rsidR="006619CE" w:rsidRPr="0072691D">
              <w:rPr>
                <w:rFonts w:cs="Arial"/>
                <w:sz w:val="20"/>
                <w:szCs w:val="20"/>
              </w:rPr>
              <w:t>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Default="006619CE" w:rsidP="003A4A22">
            <w:pPr>
              <w:rPr>
                <w:rFonts w:cs="Arial"/>
              </w:rPr>
            </w:pPr>
          </w:p>
        </w:tc>
      </w:tr>
      <w:tr w:rsidR="006619CE" w:rsidTr="003A4A22">
        <w:trPr>
          <w:trHeight w:val="112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jc w:val="both"/>
              <w:rPr>
                <w:rFonts w:cs="Arial"/>
                <w:sz w:val="20"/>
                <w:szCs w:val="20"/>
              </w:rPr>
            </w:pPr>
            <w:r w:rsidRPr="0072691D">
              <w:rPr>
                <w:rFonts w:cs="Arial"/>
                <w:sz w:val="20"/>
                <w:szCs w:val="20"/>
              </w:rPr>
              <w:t>Организация и проведение медицинских осмотров привлекаемого персонала.</w:t>
            </w:r>
          </w:p>
        </w:tc>
        <w:tc>
          <w:tcPr>
            <w:tcW w:w="2987" w:type="dxa"/>
            <w:tcBorders>
              <w:top w:val="single" w:sz="4" w:space="0" w:color="000000"/>
              <w:left w:val="single" w:sz="4" w:space="0" w:color="000000"/>
              <w:bottom w:val="single" w:sz="4" w:space="0" w:color="000000"/>
            </w:tcBorders>
            <w:shd w:val="clear" w:color="auto" w:fill="auto"/>
          </w:tcPr>
          <w:p w:rsidR="006619CE" w:rsidRPr="00C2105A" w:rsidRDefault="006619CE" w:rsidP="006619CE">
            <w:pPr>
              <w:spacing w:before="0"/>
              <w:rPr>
                <w:rFonts w:cs="Arial"/>
                <w:sz w:val="20"/>
                <w:szCs w:val="20"/>
              </w:rPr>
            </w:pPr>
            <w:r w:rsidRPr="00C2105A">
              <w:rPr>
                <w:rFonts w:cs="Arial"/>
                <w:sz w:val="20"/>
                <w:szCs w:val="20"/>
              </w:rPr>
              <w:t>Копии документов, подтверждающих наличие договорных отношений, графиков, перечней и заключительных актов</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3A4A22" w:rsidP="006619CE">
            <w:pPr>
              <w:spacing w:before="0"/>
              <w:rPr>
                <w:rFonts w:cs="Arial"/>
                <w:sz w:val="20"/>
                <w:szCs w:val="20"/>
              </w:rPr>
            </w:pPr>
            <w:r w:rsidRPr="0072691D">
              <w:rPr>
                <w:rFonts w:cs="Arial"/>
                <w:sz w:val="20"/>
                <w:szCs w:val="20"/>
              </w:rPr>
              <w:t>н</w:t>
            </w:r>
            <w:r w:rsidR="006619CE" w:rsidRPr="0072691D">
              <w:rPr>
                <w:rFonts w:cs="Arial"/>
                <w:sz w:val="20"/>
                <w:szCs w:val="20"/>
              </w:rPr>
              <w:t>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6619CE" w:rsidRPr="0072691D" w:rsidRDefault="006619CE" w:rsidP="006619CE">
            <w:pPr>
              <w:spacing w:before="0"/>
              <w:jc w:val="both"/>
              <w:rPr>
                <w:rFonts w:cs="Arial"/>
                <w:sz w:val="20"/>
                <w:szCs w:val="20"/>
              </w:rPr>
            </w:pPr>
            <w:r w:rsidRPr="0072691D">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987" w:type="dxa"/>
            <w:tcBorders>
              <w:top w:val="single" w:sz="4" w:space="0" w:color="000000"/>
              <w:left w:val="single" w:sz="4" w:space="0" w:color="000000"/>
              <w:bottom w:val="single" w:sz="4" w:space="0" w:color="000000"/>
            </w:tcBorders>
            <w:shd w:val="clear" w:color="auto" w:fill="auto"/>
          </w:tcPr>
          <w:p w:rsidR="006619CE" w:rsidRPr="00C2105A" w:rsidRDefault="006619CE" w:rsidP="006619CE">
            <w:pPr>
              <w:spacing w:before="0"/>
              <w:rPr>
                <w:rFonts w:cs="Arial"/>
                <w:sz w:val="20"/>
                <w:szCs w:val="20"/>
              </w:rPr>
            </w:pPr>
            <w:r w:rsidRPr="00C2105A">
              <w:rPr>
                <w:rFonts w:cs="Arial"/>
                <w:sz w:val="20"/>
                <w:szCs w:val="20"/>
              </w:rPr>
              <w:t>Копии документов, подтверждающих проведение проверок, их графиков,  актов по итогам проверок.</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3A4A22" w:rsidP="006619CE">
            <w:pPr>
              <w:spacing w:before="0"/>
              <w:rPr>
                <w:rFonts w:cs="Arial"/>
                <w:sz w:val="20"/>
                <w:szCs w:val="20"/>
              </w:rPr>
            </w:pPr>
            <w:r w:rsidRPr="0072691D">
              <w:rPr>
                <w:rFonts w:cs="Arial"/>
                <w:sz w:val="20"/>
                <w:szCs w:val="20"/>
              </w:rPr>
              <w:t>н</w:t>
            </w:r>
            <w:r w:rsidR="006619CE" w:rsidRPr="0072691D">
              <w:rPr>
                <w:rFonts w:cs="Arial"/>
                <w:sz w:val="20"/>
                <w:szCs w:val="20"/>
              </w:rPr>
              <w:t>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eastAsia="Calibri" w:cs="Arial"/>
                <w:sz w:val="20"/>
                <w:szCs w:val="20"/>
              </w:rPr>
            </w:pPr>
            <w:r w:rsidRPr="0072691D">
              <w:rPr>
                <w:rFonts w:cs="Arial"/>
                <w:sz w:val="20"/>
                <w:szCs w:val="20"/>
              </w:rPr>
              <w:t>Требования по сварочным работам:</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jc w:val="both"/>
              <w:rPr>
                <w:rFonts w:cs="Arial"/>
                <w:sz w:val="20"/>
                <w:szCs w:val="20"/>
              </w:rPr>
            </w:pPr>
            <w:r w:rsidRPr="00C2105A">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59" w:type="dxa"/>
            <w:tcBorders>
              <w:top w:val="single" w:sz="4" w:space="0" w:color="000000"/>
              <w:left w:val="single" w:sz="4" w:space="0" w:color="000000"/>
              <w:bottom w:val="single" w:sz="4" w:space="0" w:color="000000"/>
            </w:tcBorders>
            <w:shd w:val="clear" w:color="auto" w:fill="auto"/>
          </w:tcPr>
          <w:p w:rsidR="006619CE" w:rsidRPr="0072691D" w:rsidRDefault="003A4A22" w:rsidP="006619CE">
            <w:pPr>
              <w:spacing w:before="0"/>
              <w:rPr>
                <w:rFonts w:cs="Arial"/>
                <w:sz w:val="20"/>
                <w:szCs w:val="20"/>
              </w:rPr>
            </w:pPr>
            <w:r w:rsidRPr="0072691D">
              <w:rPr>
                <w:rFonts w:cs="Arial"/>
                <w:sz w:val="20"/>
                <w:szCs w:val="20"/>
              </w:rPr>
              <w:t>н</w:t>
            </w:r>
            <w:r w:rsidR="006619CE" w:rsidRPr="0072691D">
              <w:rPr>
                <w:rFonts w:cs="Arial"/>
                <w:sz w:val="20"/>
                <w:szCs w:val="20"/>
              </w:rPr>
              <w:t>аличие/ отсутствие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jc w:val="both"/>
              <w:rPr>
                <w:rFonts w:cs="Arial"/>
                <w:sz w:val="20"/>
                <w:szCs w:val="20"/>
              </w:rPr>
            </w:pPr>
            <w:r w:rsidRPr="00C2105A">
              <w:rPr>
                <w:rFonts w:cs="Arial"/>
                <w:sz w:val="20"/>
                <w:szCs w:val="20"/>
              </w:rPr>
              <w:t>Копии Свидетельств об аттестации сварочного оборудования.    Справка о наличии производственных мощностей (Форма 9).</w:t>
            </w:r>
          </w:p>
          <w:p w:rsidR="006619CE" w:rsidRPr="00C2105A" w:rsidRDefault="006619CE" w:rsidP="006619CE">
            <w:pPr>
              <w:spacing w:before="0"/>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Шт.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 8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Наличие в собственности или в аренде  исправных термопеналов</w:t>
            </w:r>
          </w:p>
        </w:tc>
        <w:tc>
          <w:tcPr>
            <w:tcW w:w="2987" w:type="dxa"/>
            <w:vMerge w:val="restart"/>
            <w:tcBorders>
              <w:top w:val="single" w:sz="4" w:space="0" w:color="000000"/>
              <w:left w:val="single" w:sz="4" w:space="0" w:color="000000"/>
            </w:tcBorders>
            <w:shd w:val="clear" w:color="auto" w:fill="auto"/>
            <w:vAlign w:val="center"/>
          </w:tcPr>
          <w:p w:rsidR="006619CE" w:rsidRPr="00C2105A" w:rsidRDefault="006619CE" w:rsidP="006619CE">
            <w:pPr>
              <w:spacing w:before="0"/>
              <w:jc w:val="both"/>
              <w:rPr>
                <w:rFonts w:cs="Arial"/>
                <w:sz w:val="20"/>
                <w:szCs w:val="20"/>
              </w:rPr>
            </w:pPr>
            <w:r w:rsidRPr="00C2105A">
              <w:rPr>
                <w:rFonts w:cs="Arial"/>
                <w:sz w:val="20"/>
                <w:szCs w:val="20"/>
              </w:rPr>
              <w:t>Справка о наличии производственных мощностей (Форма 9).</w:t>
            </w:r>
          </w:p>
          <w:p w:rsidR="006619CE" w:rsidRPr="00C2105A" w:rsidRDefault="006619CE" w:rsidP="006619CE">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Шт.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 5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Наличие в собственности или в аренде  у организации  печей для прокаливания электродов.</w:t>
            </w:r>
          </w:p>
        </w:tc>
        <w:tc>
          <w:tcPr>
            <w:tcW w:w="2987" w:type="dxa"/>
            <w:vMerge/>
            <w:tcBorders>
              <w:left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шт.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 xml:space="preserve"> 3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Наличие в собственности или аренде термопостов для термообработки сварных швов,</w:t>
            </w:r>
          </w:p>
        </w:tc>
        <w:tc>
          <w:tcPr>
            <w:tcW w:w="2987" w:type="dxa"/>
            <w:vMerge/>
            <w:tcBorders>
              <w:left w:val="single" w:sz="4" w:space="0" w:color="000000"/>
              <w:bottom w:val="single" w:sz="4" w:space="0" w:color="000000"/>
            </w:tcBorders>
            <w:shd w:val="clear" w:color="auto" w:fill="auto"/>
            <w:vAlign w:val="center"/>
          </w:tcPr>
          <w:p w:rsidR="006619CE" w:rsidRPr="00C2105A" w:rsidRDefault="006619CE" w:rsidP="006619CE">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компл.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highlight w:val="yellow"/>
              </w:rPr>
            </w:pPr>
            <w:r w:rsidRPr="0072691D">
              <w:rPr>
                <w:rFonts w:cs="Arial"/>
                <w:sz w:val="20"/>
                <w:szCs w:val="20"/>
              </w:rPr>
              <w:t>2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eastAsia="Calibri" w:cs="Arial"/>
                <w:sz w:val="20"/>
                <w:szCs w:val="20"/>
              </w:rPr>
            </w:pPr>
            <w:r w:rsidRPr="0072691D">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750" w:type="dxa"/>
            <w:vAlign w:val="center"/>
          </w:tcPr>
          <w:p w:rsidR="006619CE" w:rsidRDefault="006619CE" w:rsidP="003A4A22">
            <w:pPr>
              <w:rPr>
                <w:rFonts w:cs="Arial"/>
              </w:rPr>
            </w:pPr>
          </w:p>
        </w:tc>
      </w:tr>
      <w:tr w:rsidR="006619CE" w:rsidTr="006E6124">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грузовой транспортной техники для перевозки оборудо-вания, запчастей, материалов,</w:t>
            </w:r>
          </w:p>
        </w:tc>
        <w:tc>
          <w:tcPr>
            <w:tcW w:w="2987" w:type="dxa"/>
            <w:tcBorders>
              <w:top w:val="single" w:sz="4" w:space="0" w:color="000000"/>
              <w:left w:val="single" w:sz="4" w:space="0" w:color="000000"/>
              <w:bottom w:val="single" w:sz="4" w:space="0" w:color="000000"/>
            </w:tcBorders>
            <w:shd w:val="clear" w:color="auto" w:fill="auto"/>
            <w:vAlign w:val="center"/>
          </w:tcPr>
          <w:p w:rsidR="006619CE" w:rsidRPr="00C2105A" w:rsidRDefault="006619CE" w:rsidP="006619CE">
            <w:pPr>
              <w:spacing w:before="0"/>
              <w:rPr>
                <w:rFonts w:cs="Arial"/>
                <w:sz w:val="20"/>
                <w:szCs w:val="20"/>
              </w:rPr>
            </w:pPr>
            <w:r w:rsidRPr="00C2105A">
              <w:rPr>
                <w:rFonts w:cs="Arial"/>
                <w:sz w:val="20"/>
                <w:szCs w:val="20"/>
              </w:rPr>
              <w:t>Справка о наличии производственных мощностей (Форма 9).</w:t>
            </w:r>
          </w:p>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е</w:t>
            </w:r>
            <w:r w:rsidR="006619CE" w:rsidRPr="0072691D">
              <w:rPr>
                <w:rFonts w:cs="Arial"/>
                <w:sz w:val="20"/>
                <w:szCs w:val="20"/>
              </w:rPr>
              <w:t>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12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vMerge w:val="restart"/>
            <w:tcBorders>
              <w:top w:val="single" w:sz="4" w:space="0" w:color="000000"/>
              <w:lef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6619CE" w:rsidRPr="0072691D" w:rsidRDefault="006619CE" w:rsidP="006619CE">
            <w:pPr>
              <w:spacing w:before="0"/>
              <w:jc w:val="both"/>
              <w:rPr>
                <w:rFonts w:cs="Arial"/>
                <w:sz w:val="20"/>
                <w:szCs w:val="20"/>
              </w:rPr>
            </w:pPr>
            <w:r w:rsidRPr="0072691D">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987" w:type="dxa"/>
            <w:vMerge w:val="restart"/>
            <w:tcBorders>
              <w:top w:val="single" w:sz="4" w:space="0" w:color="000000"/>
              <w:left w:val="single" w:sz="4" w:space="0" w:color="000000"/>
            </w:tcBorders>
            <w:shd w:val="clear" w:color="auto" w:fill="auto"/>
            <w:vAlign w:val="center"/>
          </w:tcPr>
          <w:p w:rsidR="006619CE" w:rsidRPr="00C2105A" w:rsidRDefault="006619CE" w:rsidP="003A4A22">
            <w:pPr>
              <w:spacing w:before="0"/>
              <w:rPr>
                <w:rFonts w:cs="Arial"/>
                <w:sz w:val="20"/>
                <w:szCs w:val="20"/>
              </w:rPr>
            </w:pPr>
            <w:r w:rsidRPr="00C2105A">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59" w:type="dxa"/>
            <w:vMerge w:val="restart"/>
            <w:tcBorders>
              <w:top w:val="single" w:sz="4" w:space="0" w:color="000000"/>
              <w:left w:val="single" w:sz="4" w:space="0" w:color="000000"/>
            </w:tcBorders>
            <w:shd w:val="clear" w:color="auto" w:fill="auto"/>
          </w:tcPr>
          <w:p w:rsidR="006619CE" w:rsidRPr="0072691D" w:rsidRDefault="003A4A22" w:rsidP="006619CE">
            <w:pPr>
              <w:spacing w:before="0"/>
              <w:rPr>
                <w:rFonts w:cs="Arial"/>
                <w:sz w:val="20"/>
                <w:szCs w:val="20"/>
              </w:rPr>
            </w:pPr>
            <w:r w:rsidRPr="0072691D">
              <w:rPr>
                <w:rFonts w:cs="Arial"/>
                <w:sz w:val="20"/>
                <w:szCs w:val="20"/>
              </w:rPr>
              <w:t>н</w:t>
            </w:r>
            <w:r w:rsidR="006619CE" w:rsidRPr="0072691D">
              <w:rPr>
                <w:rFonts w:cs="Arial"/>
                <w:sz w:val="20"/>
                <w:szCs w:val="20"/>
              </w:rPr>
              <w:t>аличие/ отсутствие</w:t>
            </w:r>
          </w:p>
        </w:tc>
        <w:tc>
          <w:tcPr>
            <w:tcW w:w="1417" w:type="dxa"/>
            <w:vMerge w:val="restart"/>
            <w:tcBorders>
              <w:top w:val="single" w:sz="4" w:space="0" w:color="000000"/>
              <w:left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r w:rsidRPr="0072691D">
              <w:rPr>
                <w:rFonts w:cs="Arial"/>
                <w:sz w:val="20"/>
                <w:szCs w:val="20"/>
              </w:rPr>
              <w:t>наличие</w:t>
            </w:r>
          </w:p>
        </w:tc>
        <w:tc>
          <w:tcPr>
            <w:tcW w:w="750" w:type="dxa"/>
            <w:vAlign w:val="center"/>
          </w:tcPr>
          <w:p w:rsidR="006619CE" w:rsidRDefault="006619CE" w:rsidP="003A4A22">
            <w:pPr>
              <w:rPr>
                <w:rFonts w:cs="Arial"/>
              </w:rPr>
            </w:pPr>
          </w:p>
        </w:tc>
      </w:tr>
      <w:tr w:rsidR="006619CE" w:rsidTr="006E6124">
        <w:trPr>
          <w:trHeight w:val="196"/>
        </w:trPr>
        <w:tc>
          <w:tcPr>
            <w:tcW w:w="592" w:type="dxa"/>
            <w:vMerge/>
            <w:tcBorders>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6619CE" w:rsidRPr="0072691D" w:rsidRDefault="006619CE" w:rsidP="006619CE">
            <w:pPr>
              <w:spacing w:before="0"/>
              <w:jc w:val="both"/>
              <w:rPr>
                <w:rFonts w:cs="Arial"/>
                <w:sz w:val="20"/>
                <w:szCs w:val="20"/>
              </w:rPr>
            </w:pPr>
          </w:p>
        </w:tc>
        <w:tc>
          <w:tcPr>
            <w:tcW w:w="2987" w:type="dxa"/>
            <w:vMerge/>
            <w:tcBorders>
              <w:left w:val="single" w:sz="4" w:space="0" w:color="000000"/>
              <w:bottom w:val="single" w:sz="4" w:space="0" w:color="auto"/>
            </w:tcBorders>
            <w:shd w:val="clear" w:color="auto" w:fill="auto"/>
            <w:vAlign w:val="center"/>
          </w:tcPr>
          <w:p w:rsidR="006619CE" w:rsidRPr="00C2105A" w:rsidRDefault="006619CE" w:rsidP="006619CE">
            <w:pPr>
              <w:spacing w:before="0"/>
              <w:rPr>
                <w:rFonts w:cs="Arial"/>
                <w:sz w:val="20"/>
                <w:szCs w:val="20"/>
              </w:rPr>
            </w:pPr>
          </w:p>
        </w:tc>
        <w:tc>
          <w:tcPr>
            <w:tcW w:w="1559" w:type="dxa"/>
            <w:vMerge/>
            <w:tcBorders>
              <w:left w:val="single" w:sz="4" w:space="0" w:color="000000"/>
              <w:bottom w:val="single" w:sz="4" w:space="0" w:color="000000"/>
            </w:tcBorders>
            <w:shd w:val="clear" w:color="auto" w:fill="auto"/>
          </w:tcPr>
          <w:p w:rsidR="006619CE" w:rsidRPr="0072691D" w:rsidRDefault="006619CE" w:rsidP="006619CE">
            <w:pPr>
              <w:spacing w:before="0"/>
              <w:rPr>
                <w:rFonts w:cs="Arial"/>
                <w:sz w:val="20"/>
                <w:szCs w:val="20"/>
              </w:rPr>
            </w:pPr>
          </w:p>
        </w:tc>
        <w:tc>
          <w:tcPr>
            <w:tcW w:w="1417" w:type="dxa"/>
            <w:vMerge/>
            <w:tcBorders>
              <w:left w:val="single" w:sz="4" w:space="0" w:color="000000"/>
              <w:bottom w:val="single" w:sz="4" w:space="0" w:color="000000"/>
              <w:right w:val="single" w:sz="4" w:space="0" w:color="000000"/>
            </w:tcBorders>
            <w:shd w:val="clear" w:color="auto" w:fill="auto"/>
          </w:tcPr>
          <w:p w:rsidR="006619CE" w:rsidRPr="0072691D" w:rsidRDefault="006619CE" w:rsidP="006619CE">
            <w:pPr>
              <w:spacing w:before="0"/>
              <w:rPr>
                <w:rFonts w:cs="Arial"/>
                <w:sz w:val="20"/>
                <w:szCs w:val="20"/>
              </w:rPr>
            </w:pP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передвижных компрессоров,</w:t>
            </w:r>
          </w:p>
        </w:tc>
        <w:tc>
          <w:tcPr>
            <w:tcW w:w="2987" w:type="dxa"/>
            <w:tcBorders>
              <w:top w:val="single" w:sz="4" w:space="0" w:color="auto"/>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е</w:t>
            </w:r>
            <w:r w:rsidR="006619CE" w:rsidRPr="0072691D">
              <w:rPr>
                <w:rFonts w:cs="Arial"/>
                <w:sz w:val="20"/>
                <w:szCs w:val="20"/>
              </w:rPr>
              <w:t>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5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987" w:type="dxa"/>
            <w:vMerge w:val="restart"/>
            <w:tcBorders>
              <w:left w:val="single" w:sz="4" w:space="0" w:color="000000"/>
            </w:tcBorders>
            <w:shd w:val="clear" w:color="auto" w:fill="auto"/>
          </w:tcPr>
          <w:p w:rsidR="006619CE" w:rsidRPr="00C2105A" w:rsidRDefault="006619CE" w:rsidP="006619CE">
            <w:pPr>
              <w:spacing w:before="0"/>
              <w:rPr>
                <w:rFonts w:cs="Arial"/>
                <w:sz w:val="20"/>
                <w:szCs w:val="20"/>
              </w:rPr>
            </w:pPr>
          </w:p>
          <w:p w:rsidR="006619CE" w:rsidRPr="00C2105A" w:rsidRDefault="006619CE" w:rsidP="003A4A22">
            <w:pPr>
              <w:spacing w:before="0"/>
              <w:rPr>
                <w:rFonts w:cs="Arial"/>
                <w:sz w:val="20"/>
                <w:szCs w:val="20"/>
              </w:rPr>
            </w:pPr>
            <w:r w:rsidRPr="00C2105A">
              <w:rPr>
                <w:rFonts w:cs="Arial"/>
                <w:sz w:val="20"/>
                <w:szCs w:val="20"/>
              </w:rPr>
              <w:t>Справка о наличии производственных мощностей (Форма 9).</w:t>
            </w: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30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987" w:type="dxa"/>
            <w:vMerge/>
            <w:tcBorders>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2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7.6</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987" w:type="dxa"/>
            <w:vMerge/>
            <w:tcBorders>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2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987" w:type="dxa"/>
            <w:vMerge/>
            <w:tcBorders>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186D30" w:rsidP="006619CE">
            <w:pPr>
              <w:spacing w:before="0"/>
              <w:rPr>
                <w:rFonts w:cs="Arial"/>
                <w:sz w:val="20"/>
                <w:szCs w:val="20"/>
              </w:rPr>
            </w:pPr>
            <w:r>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исправных лебедок и талей,</w:t>
            </w:r>
          </w:p>
        </w:tc>
        <w:tc>
          <w:tcPr>
            <w:tcW w:w="2987" w:type="dxa"/>
            <w:vMerge/>
            <w:tcBorders>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ш</w:t>
            </w:r>
            <w:r w:rsidR="006619CE" w:rsidRPr="0072691D">
              <w:rPr>
                <w:rFonts w:cs="Arial"/>
                <w:sz w:val="20"/>
                <w:szCs w:val="20"/>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исправных реечных домкратов</w:t>
            </w:r>
          </w:p>
        </w:tc>
        <w:tc>
          <w:tcPr>
            <w:tcW w:w="2987" w:type="dxa"/>
            <w:vMerge/>
            <w:tcBorders>
              <w:left w:val="single" w:sz="4" w:space="0" w:color="000000"/>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ш</w:t>
            </w:r>
            <w:r w:rsidR="006619CE" w:rsidRPr="0072691D">
              <w:rPr>
                <w:rFonts w:cs="Arial"/>
                <w:sz w:val="20"/>
                <w:szCs w:val="20"/>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7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spacing w:before="0"/>
              <w:ind w:left="-81" w:right="-106"/>
              <w:rPr>
                <w:rFonts w:cs="Arial"/>
                <w:sz w:val="20"/>
                <w:szCs w:val="20"/>
              </w:rPr>
            </w:pPr>
            <w:r w:rsidRPr="0072691D">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 наличие автовышки для производства работ, </w:t>
            </w:r>
          </w:p>
          <w:p w:rsidR="006619CE" w:rsidRPr="0072691D" w:rsidRDefault="006619CE" w:rsidP="006619CE">
            <w:pPr>
              <w:spacing w:before="0"/>
              <w:rPr>
                <w:rFonts w:cs="Arial"/>
                <w:sz w:val="20"/>
                <w:szCs w:val="20"/>
              </w:rPr>
            </w:pPr>
          </w:p>
        </w:tc>
        <w:tc>
          <w:tcPr>
            <w:tcW w:w="2987" w:type="dxa"/>
            <w:vMerge w:val="restart"/>
            <w:tcBorders>
              <w:top w:val="single" w:sz="4" w:space="0" w:color="auto"/>
              <w:left w:val="single" w:sz="4" w:space="0" w:color="000000"/>
            </w:tcBorders>
            <w:shd w:val="clear" w:color="auto" w:fill="auto"/>
          </w:tcPr>
          <w:p w:rsidR="006619CE" w:rsidRPr="00C2105A" w:rsidRDefault="006619CE" w:rsidP="006619CE">
            <w:pPr>
              <w:spacing w:before="0"/>
              <w:rPr>
                <w:rFonts w:cs="Arial"/>
                <w:sz w:val="20"/>
                <w:szCs w:val="20"/>
              </w:rPr>
            </w:pPr>
            <w:r w:rsidRPr="00C2105A">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е</w:t>
            </w:r>
            <w:r w:rsidR="006619CE" w:rsidRPr="0072691D">
              <w:rPr>
                <w:rFonts w:cs="Arial"/>
                <w:sz w:val="20"/>
                <w:szCs w:val="20"/>
              </w:rPr>
              <w:t>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1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spacing w:before="0"/>
              <w:ind w:left="-81" w:right="-106"/>
              <w:rPr>
                <w:rFonts w:cs="Arial"/>
                <w:sz w:val="20"/>
                <w:szCs w:val="20"/>
              </w:rPr>
            </w:pPr>
            <w:r w:rsidRPr="0072691D">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xml:space="preserve">- наличие грузоподъемной техники </w:t>
            </w:r>
            <w:r w:rsidRPr="0072691D">
              <w:rPr>
                <w:rFonts w:cs="Arial"/>
                <w:sz w:val="20"/>
                <w:szCs w:val="20"/>
                <w:lang w:val="en-US"/>
              </w:rPr>
              <w:t>Q</w:t>
            </w:r>
            <w:r w:rsidRPr="0072691D">
              <w:rPr>
                <w:rFonts w:cs="Arial"/>
                <w:sz w:val="20"/>
                <w:szCs w:val="20"/>
              </w:rPr>
              <w:t xml:space="preserve"> = от 16 т  и более,</w:t>
            </w:r>
          </w:p>
        </w:tc>
        <w:tc>
          <w:tcPr>
            <w:tcW w:w="2987" w:type="dxa"/>
            <w:vMerge/>
            <w:tcBorders>
              <w:left w:val="single" w:sz="4" w:space="0" w:color="000000"/>
              <w:bottom w:val="single" w:sz="4" w:space="0" w:color="auto"/>
            </w:tcBorders>
            <w:shd w:val="clear" w:color="auto" w:fill="auto"/>
          </w:tcPr>
          <w:p w:rsidR="006619CE" w:rsidRPr="00C2105A" w:rsidRDefault="006619CE" w:rsidP="006619CE">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3A4A22" w:rsidP="006619CE">
            <w:pPr>
              <w:spacing w:before="0"/>
              <w:rPr>
                <w:rFonts w:cs="Arial"/>
                <w:sz w:val="20"/>
                <w:szCs w:val="20"/>
              </w:rPr>
            </w:pPr>
            <w:r w:rsidRPr="0072691D">
              <w:rPr>
                <w:rFonts w:cs="Arial"/>
                <w:sz w:val="20"/>
                <w:szCs w:val="20"/>
              </w:rPr>
              <w:t>е</w:t>
            </w:r>
            <w:r w:rsidR="006619CE" w:rsidRPr="0072691D">
              <w:rPr>
                <w:rFonts w:cs="Arial"/>
                <w:sz w:val="20"/>
                <w:szCs w:val="20"/>
              </w:rPr>
              <w:t>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4 и более</w:t>
            </w:r>
          </w:p>
          <w:p w:rsidR="006619CE" w:rsidRPr="0072691D" w:rsidRDefault="006619CE" w:rsidP="003A4A22">
            <w:pPr>
              <w:spacing w:before="0"/>
              <w:rPr>
                <w:rFonts w:cs="Arial"/>
                <w:sz w:val="20"/>
                <w:szCs w:val="20"/>
                <w:highlight w:val="green"/>
              </w:rPr>
            </w:pPr>
            <w:r w:rsidRPr="0072691D">
              <w:rPr>
                <w:rFonts w:cs="Arial"/>
                <w:sz w:val="20"/>
                <w:szCs w:val="20"/>
              </w:rPr>
              <w:t xml:space="preserve">(в том числе не менее 1 ед. </w:t>
            </w:r>
            <w:r w:rsidRPr="0072691D">
              <w:rPr>
                <w:rFonts w:cs="Arial"/>
                <w:sz w:val="20"/>
                <w:szCs w:val="20"/>
                <w:lang w:val="en-US"/>
              </w:rPr>
              <w:t>Q</w:t>
            </w:r>
            <w:r w:rsidRPr="0072691D">
              <w:rPr>
                <w:rFonts w:cs="Arial"/>
                <w:sz w:val="20"/>
                <w:szCs w:val="20"/>
              </w:rPr>
              <w:t xml:space="preserve"> = 100 т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spacing w:before="0"/>
              <w:ind w:left="-81" w:right="-106"/>
              <w:rPr>
                <w:rFonts w:cs="Arial"/>
                <w:sz w:val="20"/>
                <w:szCs w:val="20"/>
              </w:rPr>
            </w:pPr>
            <w:r w:rsidRPr="0072691D">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987" w:type="dxa"/>
            <w:vMerge w:val="restart"/>
            <w:tcBorders>
              <w:top w:val="single" w:sz="4" w:space="0" w:color="auto"/>
              <w:left w:val="single" w:sz="4" w:space="0" w:color="000000"/>
            </w:tcBorders>
            <w:shd w:val="clear" w:color="auto" w:fill="auto"/>
          </w:tcPr>
          <w:p w:rsidR="006619CE" w:rsidRPr="00C2105A" w:rsidRDefault="006619CE" w:rsidP="006619CE">
            <w:pPr>
              <w:spacing w:before="0"/>
              <w:rPr>
                <w:rFonts w:cs="Arial"/>
                <w:sz w:val="20"/>
                <w:szCs w:val="20"/>
              </w:rPr>
            </w:pPr>
          </w:p>
          <w:p w:rsidR="006619CE" w:rsidRPr="00C2105A" w:rsidRDefault="006619CE" w:rsidP="006619CE">
            <w:pPr>
              <w:spacing w:before="0"/>
              <w:rPr>
                <w:rFonts w:cs="Arial"/>
                <w:sz w:val="20"/>
                <w:szCs w:val="20"/>
              </w:rPr>
            </w:pPr>
            <w:r w:rsidRPr="00C2105A">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72691D" w:rsidP="006619CE">
            <w:pPr>
              <w:spacing w:before="0"/>
              <w:rPr>
                <w:rFonts w:cs="Arial"/>
                <w:sz w:val="20"/>
                <w:szCs w:val="20"/>
              </w:rPr>
            </w:pPr>
            <w:r w:rsidRPr="0072691D">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3 и более</w:t>
            </w:r>
          </w:p>
        </w:tc>
        <w:tc>
          <w:tcPr>
            <w:tcW w:w="750" w:type="dxa"/>
            <w:vAlign w:val="center"/>
          </w:tcPr>
          <w:p w:rsidR="006619CE" w:rsidRDefault="006619CE" w:rsidP="003A4A22">
            <w:pPr>
              <w:rPr>
                <w:rFonts w:cs="Arial"/>
              </w:rPr>
            </w:pPr>
          </w:p>
        </w:tc>
      </w:tr>
      <w:tr w:rsidR="006619CE" w:rsidTr="006E612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spacing w:before="0"/>
              <w:ind w:left="-81" w:right="-106"/>
              <w:rPr>
                <w:rFonts w:cs="Arial"/>
                <w:sz w:val="20"/>
                <w:szCs w:val="20"/>
              </w:rPr>
            </w:pPr>
            <w:r w:rsidRPr="0072691D">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autoSpaceDE w:val="0"/>
              <w:spacing w:before="0"/>
              <w:jc w:val="both"/>
              <w:rPr>
                <w:rFonts w:cs="Arial"/>
                <w:sz w:val="20"/>
                <w:szCs w:val="20"/>
              </w:rPr>
            </w:pPr>
            <w:r w:rsidRPr="0072691D">
              <w:rPr>
                <w:rFonts w:cs="Arial"/>
                <w:sz w:val="20"/>
                <w:szCs w:val="20"/>
              </w:rPr>
              <w:t>-технику для уборки территории ремонтируемого объекта во время и после проведения работ.</w:t>
            </w:r>
          </w:p>
        </w:tc>
        <w:tc>
          <w:tcPr>
            <w:tcW w:w="2987" w:type="dxa"/>
            <w:vMerge/>
            <w:tcBorders>
              <w:left w:val="single" w:sz="4" w:space="0" w:color="000000"/>
            </w:tcBorders>
            <w:shd w:val="clear" w:color="auto" w:fill="auto"/>
            <w:vAlign w:val="center"/>
          </w:tcPr>
          <w:p w:rsidR="006619CE" w:rsidRPr="0072691D" w:rsidRDefault="006619CE" w:rsidP="006619CE">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highlight w:val="yellow"/>
              </w:rPr>
            </w:pPr>
            <w:r w:rsidRPr="0072691D">
              <w:rPr>
                <w:rFonts w:cs="Arial"/>
                <w:sz w:val="20"/>
                <w:szCs w:val="20"/>
              </w:rPr>
              <w:t>2 и более</w:t>
            </w:r>
          </w:p>
        </w:tc>
        <w:tc>
          <w:tcPr>
            <w:tcW w:w="750" w:type="dxa"/>
            <w:vAlign w:val="center"/>
          </w:tcPr>
          <w:p w:rsidR="006619CE" w:rsidRDefault="006619CE" w:rsidP="003A4A22">
            <w:pPr>
              <w:rPr>
                <w:rFonts w:cs="Arial"/>
              </w:rPr>
            </w:pPr>
          </w:p>
        </w:tc>
      </w:tr>
      <w:tr w:rsidR="006619CE" w:rsidTr="0072691D">
        <w:trPr>
          <w:trHeight w:val="1144"/>
        </w:trPr>
        <w:tc>
          <w:tcPr>
            <w:tcW w:w="592"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72691D">
            <w:pPr>
              <w:spacing w:before="0"/>
              <w:ind w:left="-81" w:right="-106"/>
              <w:rPr>
                <w:rFonts w:cs="Arial"/>
                <w:sz w:val="20"/>
                <w:szCs w:val="20"/>
              </w:rPr>
            </w:pPr>
            <w:r w:rsidRPr="0072691D">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6619CE" w:rsidRPr="0072691D" w:rsidRDefault="006619CE" w:rsidP="006619CE">
            <w:pPr>
              <w:autoSpaceDE w:val="0"/>
              <w:spacing w:before="0"/>
              <w:jc w:val="both"/>
              <w:rPr>
                <w:rFonts w:cs="Arial"/>
                <w:sz w:val="20"/>
                <w:szCs w:val="20"/>
              </w:rPr>
            </w:pPr>
            <w:r w:rsidRPr="0072691D">
              <w:rPr>
                <w:rFonts w:cs="Arial"/>
                <w:sz w:val="20"/>
                <w:szCs w:val="20"/>
              </w:rPr>
              <w:t>- наружными и внутренними трубчатыми инвентарными лесами высотой до 16 м, площадью 4 м</w:t>
            </w:r>
            <w:r w:rsidRPr="0072691D">
              <w:rPr>
                <w:rFonts w:cs="Arial"/>
                <w:sz w:val="20"/>
                <w:szCs w:val="20"/>
                <w:vertAlign w:val="superscript"/>
              </w:rPr>
              <w:t>2</w:t>
            </w:r>
            <w:r w:rsidRPr="0072691D">
              <w:rPr>
                <w:rFonts w:cs="Arial"/>
                <w:sz w:val="20"/>
                <w:szCs w:val="20"/>
              </w:rPr>
              <w:t>, с подвесными лестницами,  ограждениями и настилами.</w:t>
            </w:r>
          </w:p>
        </w:tc>
        <w:tc>
          <w:tcPr>
            <w:tcW w:w="2987" w:type="dxa"/>
            <w:tcBorders>
              <w:left w:val="single" w:sz="4" w:space="0" w:color="000000"/>
              <w:bottom w:val="single" w:sz="4" w:space="0" w:color="auto"/>
            </w:tcBorders>
            <w:shd w:val="clear" w:color="auto" w:fill="auto"/>
            <w:vAlign w:val="center"/>
          </w:tcPr>
          <w:p w:rsidR="006619CE" w:rsidRPr="0072691D" w:rsidRDefault="006619CE" w:rsidP="006619CE">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619CE" w:rsidRPr="0072691D" w:rsidRDefault="0072691D" w:rsidP="006619CE">
            <w:pPr>
              <w:spacing w:before="0"/>
              <w:rPr>
                <w:rFonts w:cs="Arial"/>
                <w:sz w:val="20"/>
                <w:szCs w:val="20"/>
              </w:rPr>
            </w:pPr>
            <w:r w:rsidRPr="0072691D">
              <w:rPr>
                <w:rFonts w:cs="Arial"/>
                <w:sz w:val="20"/>
                <w:szCs w:val="20"/>
              </w:rPr>
              <w:t>к</w:t>
            </w:r>
            <w:r w:rsidR="006619CE" w:rsidRPr="0072691D">
              <w:rPr>
                <w:rFonts w:cs="Arial"/>
                <w:sz w:val="20"/>
                <w:szCs w:val="20"/>
              </w:rPr>
              <w:t>омпл.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9CE" w:rsidRPr="0072691D" w:rsidRDefault="006619CE" w:rsidP="006619CE">
            <w:pPr>
              <w:spacing w:before="0"/>
              <w:rPr>
                <w:rFonts w:cs="Arial"/>
                <w:sz w:val="20"/>
                <w:szCs w:val="20"/>
              </w:rPr>
            </w:pPr>
            <w:r w:rsidRPr="0072691D">
              <w:rPr>
                <w:rFonts w:cs="Arial"/>
                <w:sz w:val="20"/>
                <w:szCs w:val="20"/>
              </w:rPr>
              <w:t>9 и более</w:t>
            </w:r>
          </w:p>
        </w:tc>
        <w:tc>
          <w:tcPr>
            <w:tcW w:w="750" w:type="dxa"/>
            <w:vAlign w:val="center"/>
          </w:tcPr>
          <w:p w:rsidR="006619CE" w:rsidRDefault="006619CE" w:rsidP="003A4A22">
            <w:pPr>
              <w:rPr>
                <w:rFonts w:cs="Arial"/>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E56256">
          <w:pgSz w:w="11905" w:h="16837"/>
          <w:pgMar w:top="426"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344ED">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80230F">
        <w:rPr>
          <w:szCs w:val="22"/>
        </w:rPr>
        <w:t xml:space="preserve">делать </w:t>
      </w:r>
      <w:r w:rsidRPr="00562446">
        <w:rPr>
          <w:szCs w:val="22"/>
        </w:rPr>
        <w:t xml:space="preserve">оферты </w:t>
      </w:r>
      <w:r w:rsidR="008761AE" w:rsidRPr="00562446">
        <w:rPr>
          <w:szCs w:val="22"/>
        </w:rPr>
        <w:t>№</w:t>
      </w:r>
      <w:r w:rsidR="00562446" w:rsidRPr="00562446">
        <w:rPr>
          <w:szCs w:val="22"/>
        </w:rPr>
        <w:t>659</w:t>
      </w:r>
      <w:r w:rsidR="008761AE" w:rsidRPr="00562446">
        <w:rPr>
          <w:szCs w:val="22"/>
        </w:rPr>
        <w:t>-КР-</w:t>
      </w:r>
      <w:r w:rsidR="008761AE" w:rsidRPr="00D523A6">
        <w:rPr>
          <w:szCs w:val="22"/>
        </w:rPr>
        <w:t>201</w:t>
      </w:r>
      <w:r w:rsidR="005A3E2C" w:rsidRPr="00D523A6">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F708F2" w:rsidRPr="00207816">
        <w:rPr>
          <w:b/>
          <w:szCs w:val="22"/>
        </w:rPr>
        <w:t xml:space="preserve">выполнение работ по </w:t>
      </w:r>
      <w:r w:rsidR="00F708F2" w:rsidRPr="0043186B">
        <w:rPr>
          <w:b/>
          <w:szCs w:val="22"/>
        </w:rPr>
        <w:t xml:space="preserve">капитальному ремонту установки </w:t>
      </w:r>
      <w:r w:rsidR="00C2105A" w:rsidRPr="00035EB3">
        <w:rPr>
          <w:b/>
          <w:szCs w:val="22"/>
        </w:rPr>
        <w:t>Изомалк-2 Каталитическое производство согласно графика простоев в 2019 году</w:t>
      </w:r>
      <w:r w:rsidR="000B3D80" w:rsidRPr="002364FE">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B3D80" w:rsidRDefault="000B3D80" w:rsidP="00F30C65">
      <w:pPr>
        <w:jc w:val="center"/>
        <w:rPr>
          <w:rFonts w:ascii="Times New Roman" w:hAnsi="Times New Roman"/>
          <w:b/>
          <w:szCs w:val="22"/>
        </w:rPr>
      </w:pPr>
    </w:p>
    <w:p w:rsidR="000B3D80" w:rsidRDefault="000B3D80"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075"/>
      </w:tblGrid>
      <w:tr w:rsidR="00F30C65" w:rsidRPr="00F30C65" w:rsidTr="00F708F2">
        <w:trPr>
          <w:trHeight w:val="363"/>
        </w:trPr>
        <w:tc>
          <w:tcPr>
            <w:tcW w:w="5387"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075" w:type="dxa"/>
          </w:tcPr>
          <w:p w:rsidR="00F30C65" w:rsidRPr="000B3D80" w:rsidRDefault="00F708F2" w:rsidP="009673BF">
            <w:pPr>
              <w:tabs>
                <w:tab w:val="left" w:pos="3240"/>
              </w:tabs>
              <w:rPr>
                <w:rFonts w:ascii="Times New Roman" w:hAnsi="Times New Roman"/>
                <w:sz w:val="24"/>
              </w:rPr>
            </w:pPr>
            <w:r w:rsidRPr="00F708F2">
              <w:rPr>
                <w:rFonts w:ascii="Times New Roman" w:hAnsi="Times New Roman"/>
                <w:sz w:val="24"/>
              </w:rPr>
              <w:t xml:space="preserve">Выполнение работ по капитальному ремонту установки </w:t>
            </w:r>
            <w:r w:rsidR="00C2105A" w:rsidRPr="00C2105A">
              <w:rPr>
                <w:rFonts w:ascii="Times New Roman" w:hAnsi="Times New Roman"/>
                <w:sz w:val="24"/>
              </w:rPr>
              <w:t>Изомалк-2 Каталитическое производство согласно графика простоев в 2019 году</w:t>
            </w:r>
          </w:p>
        </w:tc>
      </w:tr>
      <w:tr w:rsidR="00F30C65" w:rsidRPr="00F30C65" w:rsidTr="00F708F2">
        <w:trPr>
          <w:trHeight w:val="386"/>
        </w:trPr>
        <w:tc>
          <w:tcPr>
            <w:tcW w:w="5387"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075" w:type="dxa"/>
          </w:tcPr>
          <w:p w:rsidR="00F30C65" w:rsidRPr="00F30C65" w:rsidRDefault="00F30C65" w:rsidP="00DA41EF">
            <w:pPr>
              <w:tabs>
                <w:tab w:val="left" w:pos="3240"/>
              </w:tabs>
              <w:jc w:val="both"/>
              <w:rPr>
                <w:rFonts w:ascii="Times New Roman" w:hAnsi="Times New Roman"/>
                <w:sz w:val="24"/>
              </w:rPr>
            </w:pPr>
          </w:p>
        </w:tc>
      </w:tr>
      <w:tr w:rsidR="003B1DC1" w:rsidRPr="00F30C65" w:rsidTr="00F708F2">
        <w:trPr>
          <w:trHeight w:val="421"/>
        </w:trPr>
        <w:tc>
          <w:tcPr>
            <w:tcW w:w="5387"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075"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F708F2">
        <w:trPr>
          <w:trHeight w:val="536"/>
        </w:trPr>
        <w:tc>
          <w:tcPr>
            <w:tcW w:w="5387"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075"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F708F2">
        <w:trPr>
          <w:trHeight w:val="26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075" w:type="dxa"/>
          </w:tcPr>
          <w:p w:rsidR="000548CD" w:rsidRPr="00F30C65" w:rsidRDefault="000548CD" w:rsidP="000548CD">
            <w:pPr>
              <w:tabs>
                <w:tab w:val="left" w:pos="3240"/>
              </w:tabs>
              <w:jc w:val="both"/>
              <w:rPr>
                <w:rFonts w:ascii="Times New Roman" w:hAnsi="Times New Roman"/>
                <w:sz w:val="24"/>
              </w:rPr>
            </w:pPr>
          </w:p>
        </w:tc>
      </w:tr>
      <w:tr w:rsidR="00207816" w:rsidRPr="00F30C65" w:rsidTr="00F708F2">
        <w:trPr>
          <w:trHeight w:val="269"/>
        </w:trPr>
        <w:tc>
          <w:tcPr>
            <w:tcW w:w="5387" w:type="dxa"/>
          </w:tcPr>
          <w:p w:rsidR="00207816" w:rsidRPr="00F30C65" w:rsidRDefault="00207816" w:rsidP="000548CD">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4075" w:type="dxa"/>
          </w:tcPr>
          <w:p w:rsidR="00207816" w:rsidRPr="00F30C65" w:rsidRDefault="00207816" w:rsidP="000548CD">
            <w:pPr>
              <w:tabs>
                <w:tab w:val="left" w:pos="3240"/>
              </w:tabs>
              <w:jc w:val="both"/>
              <w:rPr>
                <w:rFonts w:ascii="Times New Roman" w:hAnsi="Times New Roman"/>
                <w:sz w:val="24"/>
              </w:rPr>
            </w:pPr>
          </w:p>
        </w:tc>
      </w:tr>
      <w:tr w:rsidR="000548CD" w:rsidRPr="00F30C65" w:rsidTr="00F708F2">
        <w:trPr>
          <w:trHeight w:val="337"/>
        </w:trPr>
        <w:tc>
          <w:tcPr>
            <w:tcW w:w="5387"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075" w:type="dxa"/>
          </w:tcPr>
          <w:p w:rsidR="000548CD" w:rsidRPr="00F30C65" w:rsidRDefault="000548CD" w:rsidP="000548CD">
            <w:pPr>
              <w:tabs>
                <w:tab w:val="left" w:pos="3240"/>
              </w:tabs>
              <w:jc w:val="both"/>
              <w:rPr>
                <w:rFonts w:ascii="Times New Roman" w:hAnsi="Times New Roman"/>
                <w:sz w:val="24"/>
              </w:rPr>
            </w:pPr>
          </w:p>
        </w:tc>
      </w:tr>
      <w:tr w:rsidR="000548CD" w:rsidRPr="00F30C65" w:rsidTr="00F708F2">
        <w:trPr>
          <w:trHeight w:val="23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075"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E56256"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3A4A22" w:rsidRDefault="003A4A22"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F708F2" w:rsidP="000548CD">
      <w:pPr>
        <w:jc w:val="center"/>
        <w:rPr>
          <w:rFonts w:cs="Arial"/>
          <w:szCs w:val="22"/>
        </w:rPr>
      </w:pPr>
      <w:r>
        <w:rPr>
          <w:rFonts w:cs="Arial"/>
          <w:b/>
          <w:szCs w:val="22"/>
        </w:rPr>
        <w:t>на</w:t>
      </w:r>
      <w:r w:rsidR="000548CD" w:rsidRPr="000548CD">
        <w:rPr>
          <w:rFonts w:cs="Arial"/>
          <w:b/>
          <w:i/>
          <w:szCs w:val="22"/>
        </w:rPr>
        <w:t xml:space="preserve"> </w:t>
      </w:r>
      <w:r w:rsidR="000B3D80" w:rsidRPr="00207816">
        <w:rPr>
          <w:b/>
          <w:szCs w:val="22"/>
        </w:rPr>
        <w:t xml:space="preserve">выполнение работ </w:t>
      </w:r>
      <w:r w:rsidRPr="00207816">
        <w:rPr>
          <w:b/>
          <w:szCs w:val="22"/>
        </w:rPr>
        <w:t xml:space="preserve">по </w:t>
      </w:r>
      <w:r w:rsidRPr="0043186B">
        <w:rPr>
          <w:b/>
          <w:szCs w:val="22"/>
        </w:rPr>
        <w:t xml:space="preserve">капитальному ремонту установки </w:t>
      </w:r>
      <w:r w:rsidR="00C2105A" w:rsidRPr="00035EB3">
        <w:rPr>
          <w:b/>
          <w:szCs w:val="22"/>
        </w:rPr>
        <w:t>Изомалк-2 Каталитическое производство согласно графика простоев в 2019 году</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207816">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207816">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207816">
        <w:trPr>
          <w:trHeight w:val="525"/>
        </w:trPr>
        <w:tc>
          <w:tcPr>
            <w:tcW w:w="520" w:type="dxa"/>
            <w:tcBorders>
              <w:top w:val="nil"/>
              <w:left w:val="nil"/>
              <w:bottom w:val="nil"/>
              <w:right w:val="nil"/>
            </w:tcBorders>
            <w:shd w:val="clear" w:color="auto" w:fill="auto"/>
            <w:vAlign w:val="center"/>
            <w:hideMark/>
          </w:tcPr>
          <w:p w:rsidR="0004256E" w:rsidRPr="008212CE" w:rsidRDefault="0004256E" w:rsidP="00207816">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F708F2">
            <w:pPr>
              <w:rPr>
                <w:b/>
                <w:bCs/>
                <w:sz w:val="18"/>
                <w:szCs w:val="18"/>
              </w:rPr>
            </w:pPr>
            <w:r w:rsidRPr="008212CE">
              <w:rPr>
                <w:b/>
                <w:bCs/>
                <w:sz w:val="18"/>
                <w:szCs w:val="18"/>
              </w:rPr>
              <w:t xml:space="preserve">Работы </w:t>
            </w:r>
            <w:r w:rsidR="00F708F2">
              <w:rPr>
                <w:b/>
                <w:bCs/>
                <w:sz w:val="18"/>
                <w:szCs w:val="18"/>
              </w:rPr>
              <w:t>по</w:t>
            </w:r>
            <w:r w:rsidR="00F708F2" w:rsidRPr="00207816">
              <w:rPr>
                <w:b/>
                <w:szCs w:val="22"/>
              </w:rPr>
              <w:t xml:space="preserve"> </w:t>
            </w:r>
            <w:r w:rsidR="00F708F2" w:rsidRPr="00F708F2">
              <w:rPr>
                <w:b/>
                <w:bCs/>
                <w:sz w:val="18"/>
                <w:szCs w:val="18"/>
              </w:rPr>
              <w:t xml:space="preserve">капитальному ремонту установки </w:t>
            </w:r>
            <w:r w:rsidR="00C2105A" w:rsidRPr="00C2105A">
              <w:rPr>
                <w:b/>
                <w:bCs/>
                <w:sz w:val="18"/>
                <w:szCs w:val="18"/>
              </w:rPr>
              <w:t>Изомалк-2 Каталитическое производство согласно графика простоев в 2019 году</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207816">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207816">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207816">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207816">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207816">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207816">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r w:rsidRPr="008212CE">
              <w:rPr>
                <w:szCs w:val="22"/>
              </w:rPr>
              <w:t>сумма, руб.</w:t>
            </w:r>
          </w:p>
        </w:tc>
      </w:tr>
      <w:tr w:rsidR="0004256E" w:rsidRPr="008212CE" w:rsidTr="00207816">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207816">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xml:space="preserve"> - </w:t>
            </w:r>
          </w:p>
        </w:tc>
      </w:tr>
      <w:tr w:rsidR="0004256E" w:rsidRPr="008212CE" w:rsidTr="00207816">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207816">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r w:rsidRPr="008212CE">
              <w:rPr>
                <w:szCs w:val="22"/>
              </w:rPr>
              <w:t> </w:t>
            </w:r>
          </w:p>
        </w:tc>
      </w:tr>
      <w:tr w:rsidR="006E2159" w:rsidRPr="008212CE" w:rsidTr="00C203C4">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159" w:rsidRDefault="006E2159" w:rsidP="006E2159">
            <w:pPr>
              <w:spacing w:before="0"/>
              <w:rPr>
                <w:rFonts w:ascii="Times New Roman" w:hAnsi="Times New Roman"/>
              </w:rPr>
            </w:pPr>
            <w:r>
              <w:rPr>
                <w:szCs w:val="22"/>
              </w:rPr>
              <w:t>14,50%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6E2159" w:rsidRPr="008212CE" w:rsidTr="00C203C4">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3,00%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ЗП * (Кст - 1)</w:t>
            </w:r>
          </w:p>
        </w:tc>
      </w:tr>
      <w:tr w:rsidR="006E2159" w:rsidRPr="008212CE" w:rsidTr="00C203C4">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15,00%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 пп.2-3 * НР</w:t>
            </w:r>
          </w:p>
        </w:tc>
      </w:tr>
      <w:tr w:rsidR="006E2159" w:rsidRPr="008212CE" w:rsidTr="00C203C4">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9,00%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 пп.2-3 * СП</w:t>
            </w:r>
          </w:p>
        </w:tc>
      </w:tr>
      <w:tr w:rsidR="006E2159" w:rsidRPr="008212CE" w:rsidTr="00C203C4">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43,50%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МАТ-П</w:t>
            </w:r>
          </w:p>
        </w:tc>
      </w:tr>
      <w:tr w:rsidR="006E2159" w:rsidRPr="008212CE" w:rsidTr="00C203C4">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6,00%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r w:rsidRPr="008212CE">
              <w:rPr>
                <w:szCs w:val="22"/>
              </w:rPr>
              <w:t>МАТ-П * Ктр.п</w:t>
            </w:r>
          </w:p>
        </w:tc>
      </w:tr>
      <w:tr w:rsidR="006E2159" w:rsidRPr="008212CE" w:rsidTr="00C203C4">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0,00%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ОБ</w:t>
            </w:r>
          </w:p>
        </w:tc>
      </w:tr>
      <w:tr w:rsidR="006E2159" w:rsidRPr="008212CE" w:rsidTr="00C203C4">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0,00%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r w:rsidRPr="008212CE">
              <w:rPr>
                <w:szCs w:val="22"/>
              </w:rPr>
              <w:t>ОБ * Ктр.об</w:t>
            </w:r>
          </w:p>
        </w:tc>
      </w:tr>
      <w:tr w:rsidR="006E2159" w:rsidRPr="008212CE" w:rsidTr="00C203C4">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0,00%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r w:rsidRPr="008212CE">
              <w:rPr>
                <w:szCs w:val="22"/>
              </w:rPr>
              <w:t>МАТ-Зак в расчете не учитываются</w:t>
            </w:r>
          </w:p>
        </w:tc>
      </w:tr>
      <w:tr w:rsidR="006E2159" w:rsidRPr="008212CE" w:rsidTr="00C203C4">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0,00%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r w:rsidRPr="008212CE">
              <w:rPr>
                <w:szCs w:val="22"/>
              </w:rPr>
              <w:t>МАТ-Зак * Ктр.з</w:t>
            </w:r>
          </w:p>
        </w:tc>
      </w:tr>
      <w:tr w:rsidR="006E2159" w:rsidRPr="008212CE" w:rsidTr="00C203C4">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6E2159" w:rsidRPr="008212CE" w:rsidRDefault="006E2159" w:rsidP="006E2159">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6E2159" w:rsidRPr="008212CE" w:rsidRDefault="006E2159" w:rsidP="006E2159">
            <w:pPr>
              <w:rPr>
                <w:color w:val="FF0000"/>
              </w:rPr>
            </w:pPr>
            <w:r w:rsidRPr="008212CE">
              <w:rPr>
                <w:color w:val="FF0000"/>
                <w:szCs w:val="22"/>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6E2159" w:rsidRDefault="006E2159" w:rsidP="006E2159">
            <w:r>
              <w:rPr>
                <w:szCs w:val="22"/>
              </w:rPr>
              <w:t>9,00%</w:t>
            </w:r>
          </w:p>
        </w:tc>
        <w:tc>
          <w:tcPr>
            <w:tcW w:w="1760" w:type="dxa"/>
            <w:tcBorders>
              <w:top w:val="nil"/>
              <w:left w:val="nil"/>
              <w:bottom w:val="single" w:sz="4" w:space="0" w:color="auto"/>
              <w:right w:val="single" w:sz="4" w:space="0" w:color="auto"/>
            </w:tcBorders>
            <w:shd w:val="clear" w:color="auto" w:fill="auto"/>
            <w:vAlign w:val="center"/>
            <w:hideMark/>
          </w:tcPr>
          <w:p w:rsidR="006E2159" w:rsidRPr="008212CE" w:rsidRDefault="006E2159" w:rsidP="006E215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6E2159" w:rsidRPr="008212CE" w:rsidRDefault="006E2159" w:rsidP="006E2159">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6E2159" w:rsidP="00207816">
            <w:pPr>
              <w:rPr>
                <w:i/>
                <w:iCs/>
              </w:rPr>
            </w:pPr>
            <w:r>
              <w:rPr>
                <w:i/>
                <w:iCs/>
                <w:szCs w:val="22"/>
              </w:rPr>
              <w:t>0</w:t>
            </w:r>
            <w:r w:rsidR="0004256E" w:rsidRPr="008212CE">
              <w:rPr>
                <w:i/>
                <w:iCs/>
                <w:szCs w:val="22"/>
              </w:rPr>
              <w:t>%</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207816">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пп. 2-14</w:t>
            </w:r>
          </w:p>
        </w:tc>
      </w:tr>
      <w:tr w:rsidR="0004256E" w:rsidRPr="008212CE" w:rsidTr="00207816">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207816">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517" w:rsidRDefault="00FE3517" w:rsidP="00FB07D9">
      <w:pPr>
        <w:spacing w:before="0"/>
      </w:pPr>
      <w:r>
        <w:separator/>
      </w:r>
    </w:p>
  </w:endnote>
  <w:endnote w:type="continuationSeparator" w:id="0">
    <w:p w:rsidR="00FE3517" w:rsidRDefault="00FE351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22" w:rsidRDefault="003A4A2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22" w:rsidRDefault="003A4A2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517" w:rsidRDefault="00FE3517" w:rsidP="00FB07D9">
      <w:pPr>
        <w:spacing w:before="0"/>
      </w:pPr>
      <w:r>
        <w:separator/>
      </w:r>
    </w:p>
  </w:footnote>
  <w:footnote w:type="continuationSeparator" w:id="0">
    <w:p w:rsidR="00FE3517" w:rsidRDefault="00FE351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646"/>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256"/>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320B6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3843</TotalTime>
  <Pages>19</Pages>
  <Words>4771</Words>
  <Characters>27196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740</cp:revision>
  <cp:lastPrinted>2018-12-06T15:48:00Z</cp:lastPrinted>
  <dcterms:created xsi:type="dcterms:W3CDTF">2016-09-08T12:35:00Z</dcterms:created>
  <dcterms:modified xsi:type="dcterms:W3CDTF">2018-12-17T08:33:00Z</dcterms:modified>
</cp:coreProperties>
</file>